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09AA1" w14:textId="15AAC061" w:rsidR="00D60121" w:rsidRPr="00BE7BD0" w:rsidRDefault="00D60121" w:rsidP="00D60121">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#113                                                       R1</w:t>
      </w:r>
      <w:r w:rsidRPr="00BE7BD0">
        <w:rPr>
          <w:b/>
          <w:noProof/>
          <w:sz w:val="24"/>
        </w:rPr>
        <w:t>-</w:t>
      </w:r>
      <w:r w:rsidR="001776EA" w:rsidRPr="001776EA">
        <w:rPr>
          <w:b/>
          <w:bCs/>
          <w:noProof/>
          <w:sz w:val="24"/>
          <w:lang w:val="en-US"/>
        </w:rPr>
        <w:t>2305240</w:t>
      </w:r>
      <w:r>
        <w:rPr>
          <w:b/>
          <w:i/>
          <w:noProof/>
          <w:sz w:val="28"/>
        </w:rPr>
        <w:tab/>
      </w:r>
    </w:p>
    <w:p w14:paraId="32D8F3E5" w14:textId="77777777" w:rsidR="00D60121" w:rsidRPr="009E56BE" w:rsidRDefault="00D60121" w:rsidP="00D60121">
      <w:pPr>
        <w:tabs>
          <w:tab w:val="center" w:pos="4536"/>
          <w:tab w:val="right" w:pos="9072"/>
        </w:tabs>
        <w:rPr>
          <w:rFonts w:ascii="Arial" w:eastAsia="MS Mincho" w:hAnsi="Arial" w:cs="Arial"/>
          <w:b/>
          <w:bCs/>
          <w:szCs w:val="22"/>
          <w:lang w:val="en-GB"/>
        </w:rPr>
      </w:pPr>
      <w:r>
        <w:rPr>
          <w:rFonts w:ascii="Arial" w:eastAsia="MS Mincho" w:hAnsi="Arial" w:cs="Arial"/>
          <w:b/>
          <w:bCs/>
          <w:szCs w:val="22"/>
          <w:lang w:val="en-GB"/>
        </w:rPr>
        <w:t>Incheon, Korea, May</w:t>
      </w:r>
      <w:r w:rsidRPr="009E56BE">
        <w:rPr>
          <w:rFonts w:ascii="Arial" w:eastAsia="MS Mincho" w:hAnsi="Arial" w:cs="Arial"/>
          <w:b/>
          <w:bCs/>
          <w:szCs w:val="22"/>
          <w:lang w:val="en-GB"/>
        </w:rPr>
        <w:t xml:space="preserve"> </w:t>
      </w:r>
      <w:r>
        <w:rPr>
          <w:rFonts w:ascii="Arial" w:eastAsia="MS Mincho" w:hAnsi="Arial" w:cs="Arial"/>
          <w:b/>
          <w:bCs/>
          <w:szCs w:val="22"/>
          <w:lang w:val="en-GB"/>
        </w:rPr>
        <w:t>22</w:t>
      </w:r>
      <w:r>
        <w:rPr>
          <w:rFonts w:ascii="Arial" w:eastAsia="MS Mincho" w:hAnsi="Arial" w:cs="Arial"/>
          <w:b/>
          <w:bCs/>
          <w:szCs w:val="22"/>
          <w:vertAlign w:val="superscript"/>
          <w:lang w:val="en-GB"/>
        </w:rPr>
        <w:t>nd</w:t>
      </w:r>
      <w:r w:rsidRPr="009E56BE">
        <w:rPr>
          <w:rFonts w:ascii="Arial" w:eastAsia="MS Mincho" w:hAnsi="Arial" w:cs="Arial"/>
          <w:b/>
          <w:bCs/>
          <w:szCs w:val="22"/>
          <w:lang w:val="en-GB"/>
        </w:rPr>
        <w:t xml:space="preserve"> – </w:t>
      </w:r>
      <w:r>
        <w:rPr>
          <w:rFonts w:ascii="Arial" w:eastAsia="MS Mincho" w:hAnsi="Arial" w:cs="Arial"/>
          <w:b/>
          <w:bCs/>
          <w:szCs w:val="22"/>
          <w:lang w:val="en-GB"/>
        </w:rPr>
        <w:t>26</w:t>
      </w:r>
      <w:r w:rsidRPr="009E56BE">
        <w:rPr>
          <w:rFonts w:ascii="Arial" w:eastAsia="MS Mincho" w:hAnsi="Arial" w:cs="Arial"/>
          <w:b/>
          <w:bCs/>
          <w:szCs w:val="22"/>
          <w:vertAlign w:val="superscript"/>
          <w:lang w:val="en-GB"/>
        </w:rPr>
        <w:t>th</w:t>
      </w:r>
      <w:r w:rsidRPr="009E56BE">
        <w:rPr>
          <w:rFonts w:ascii="Arial" w:eastAsia="MS Mincho" w:hAnsi="Arial" w:cs="Arial"/>
          <w:b/>
          <w:bCs/>
          <w:szCs w:val="22"/>
          <w:lang w:val="en-GB"/>
        </w:rPr>
        <w:t>, 2023</w:t>
      </w:r>
    </w:p>
    <w:p w14:paraId="5467F896" w14:textId="77777777" w:rsidR="00A64843" w:rsidRPr="00BE7BD0" w:rsidRDefault="00A64843" w:rsidP="00A64843">
      <w:pPr>
        <w:tabs>
          <w:tab w:val="center" w:pos="4536"/>
          <w:tab w:val="right" w:pos="9072"/>
        </w:tabs>
        <w:rPr>
          <w:rFonts w:ascii="Arial" w:eastAsia="MS Mincho" w:hAnsi="Arial" w:cs="Arial"/>
          <w:b/>
          <w:bCs/>
          <w:lang w:eastAsia="ja-JP"/>
        </w:rPr>
      </w:pPr>
    </w:p>
    <w:p w14:paraId="33B869EF" w14:textId="456D7DA6" w:rsidR="00A64843" w:rsidRPr="00315C6E" w:rsidRDefault="00A64843" w:rsidP="00A64843">
      <w:pPr>
        <w:pStyle w:val="3GPPHeader"/>
        <w:rPr>
          <w:sz w:val="22"/>
          <w:szCs w:val="22"/>
        </w:rPr>
      </w:pPr>
      <w:r w:rsidRPr="00315C6E">
        <w:rPr>
          <w:sz w:val="22"/>
          <w:szCs w:val="22"/>
        </w:rPr>
        <w:t>Agenda Item:</w:t>
      </w:r>
      <w:r w:rsidRPr="00315C6E">
        <w:rPr>
          <w:sz w:val="22"/>
          <w:szCs w:val="22"/>
        </w:rPr>
        <w:tab/>
      </w:r>
      <w:r>
        <w:rPr>
          <w:sz w:val="22"/>
          <w:szCs w:val="22"/>
        </w:rPr>
        <w:t>9.3.1</w:t>
      </w:r>
    </w:p>
    <w:p w14:paraId="44C4CEB0" w14:textId="77777777" w:rsidR="00A64843" w:rsidRPr="00315C6E" w:rsidRDefault="00A64843" w:rsidP="00A64843">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56ECC62E" w:rsidR="00B23EB7" w:rsidRDefault="00B23EB7" w:rsidP="00B23EB7">
      <w:pPr>
        <w:pStyle w:val="3GPPHeader"/>
        <w:rPr>
          <w:sz w:val="22"/>
          <w:szCs w:val="22"/>
        </w:rPr>
      </w:pPr>
      <w:r w:rsidRPr="00315C6E">
        <w:rPr>
          <w:sz w:val="22"/>
          <w:szCs w:val="22"/>
        </w:rPr>
        <w:t>Title:</w:t>
      </w:r>
      <w:r w:rsidRPr="00315C6E">
        <w:rPr>
          <w:sz w:val="22"/>
          <w:szCs w:val="22"/>
        </w:rPr>
        <w:tab/>
      </w:r>
      <w:r w:rsidR="0069087D">
        <w:rPr>
          <w:sz w:val="22"/>
          <w:szCs w:val="22"/>
        </w:rPr>
        <w:t>On</w:t>
      </w:r>
      <w:r w:rsidR="00EF1791" w:rsidRPr="00EF1791">
        <w:rPr>
          <w:sz w:val="22"/>
          <w:szCs w:val="22"/>
        </w:rPr>
        <w:t xml:space="preserve"> evaluation</w:t>
      </w:r>
      <w:r w:rsidR="0069087D">
        <w:rPr>
          <w:sz w:val="22"/>
          <w:szCs w:val="22"/>
        </w:rPr>
        <w:t>s</w:t>
      </w:r>
      <w:r w:rsidR="00EF1791" w:rsidRPr="00EF1791">
        <w:rPr>
          <w:sz w:val="22"/>
          <w:szCs w:val="22"/>
        </w:rPr>
        <w:t xml:space="preserve"> </w:t>
      </w:r>
      <w:r w:rsidR="0069087D">
        <w:rPr>
          <w:sz w:val="22"/>
          <w:szCs w:val="22"/>
        </w:rPr>
        <w:t>for</w:t>
      </w:r>
      <w:r w:rsidR="00EF1791" w:rsidRPr="00EF1791">
        <w:rPr>
          <w:sz w:val="22"/>
          <w:szCs w:val="22"/>
        </w:rPr>
        <w:t xml:space="preserve"> NR duplex evolution</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29BBD8DA" w14:textId="70F64DA1" w:rsidR="00EF1791" w:rsidRDefault="009427D6" w:rsidP="00EF1791">
      <w:pPr>
        <w:tabs>
          <w:tab w:val="left" w:pos="640"/>
        </w:tabs>
        <w:jc w:val="both"/>
        <w:rPr>
          <w:sz w:val="20"/>
          <w:szCs w:val="20"/>
        </w:rPr>
      </w:pPr>
      <w:r w:rsidRPr="00500DE7">
        <w:rPr>
          <w:sz w:val="20"/>
          <w:szCs w:val="20"/>
        </w:rPr>
        <w:t>I</w:t>
      </w:r>
      <w:r w:rsidR="00EF1791" w:rsidRPr="00EF1791">
        <w:rPr>
          <w:sz w:val="20"/>
          <w:szCs w:val="20"/>
        </w:rPr>
        <w:t>n RAN</w:t>
      </w:r>
      <w:r w:rsidR="00EF1791">
        <w:rPr>
          <w:sz w:val="20"/>
          <w:szCs w:val="20"/>
        </w:rPr>
        <w:t>#</w:t>
      </w:r>
      <w:r w:rsidR="00EF1791" w:rsidRPr="00EF1791">
        <w:rPr>
          <w:sz w:val="20"/>
          <w:szCs w:val="20"/>
        </w:rPr>
        <w:t>94</w:t>
      </w:r>
      <w:r w:rsidR="00EF1791">
        <w:rPr>
          <w:sz w:val="20"/>
          <w:szCs w:val="20"/>
        </w:rPr>
        <w:t xml:space="preserve"> e-</w:t>
      </w:r>
      <w:r w:rsidR="00EF1791" w:rsidRPr="00EF1791">
        <w:rPr>
          <w:sz w:val="20"/>
          <w:szCs w:val="20"/>
        </w:rPr>
        <w:t>meeting, a new study item, ‘Study on Evolution of NR Duplex Operation’, was approved</w:t>
      </w:r>
      <w:r w:rsidR="00EF1791">
        <w:rPr>
          <w:sz w:val="20"/>
          <w:szCs w:val="20"/>
        </w:rPr>
        <w:t xml:space="preserve"> to </w:t>
      </w:r>
      <w:r w:rsidR="00EF1791" w:rsidRPr="00EF1791">
        <w:rPr>
          <w:sz w:val="20"/>
          <w:szCs w:val="20"/>
          <w:lang w:val="en-GB"/>
        </w:rPr>
        <w:t>identify and evaluate the potential enhancements to support duplex evolution for NR TDD in unpaired spectrum</w:t>
      </w:r>
      <w:r w:rsidR="00EF1791" w:rsidRPr="00EF1791">
        <w:rPr>
          <w:sz w:val="20"/>
          <w:szCs w:val="20"/>
        </w:rPr>
        <w:t xml:space="preserve"> with some of objectives as follows</w:t>
      </w:r>
      <w:r w:rsidR="00EF1791">
        <w:rPr>
          <w:sz w:val="20"/>
          <w:szCs w:val="20"/>
        </w:rPr>
        <w:t xml:space="preserve"> [1]</w:t>
      </w:r>
      <w:r w:rsidR="00EF1791" w:rsidRPr="00EF1791">
        <w:rPr>
          <w:sz w:val="20"/>
          <w:szCs w:val="20"/>
        </w:rPr>
        <w:t>:</w:t>
      </w:r>
    </w:p>
    <w:p w14:paraId="1828E84B" w14:textId="77777777" w:rsidR="00EF1791" w:rsidRDefault="00EF1791" w:rsidP="00EF1791">
      <w:pPr>
        <w:pStyle w:val="ListParagraph"/>
        <w:numPr>
          <w:ilvl w:val="0"/>
          <w:numId w:val="18"/>
        </w:numPr>
        <w:tabs>
          <w:tab w:val="left" w:pos="640"/>
        </w:tabs>
        <w:ind w:leftChars="0"/>
        <w:jc w:val="both"/>
        <w:rPr>
          <w:szCs w:val="20"/>
        </w:rPr>
      </w:pPr>
      <w:r w:rsidRPr="00EF1791">
        <w:rPr>
          <w:szCs w:val="20"/>
        </w:rPr>
        <w:t>Identify applicable and relevant deployment scenarios (RAN1)</w:t>
      </w:r>
    </w:p>
    <w:p w14:paraId="4AF2D034" w14:textId="6ADCF7A7" w:rsidR="00EF1791" w:rsidRDefault="00EF1791" w:rsidP="00EF1791">
      <w:pPr>
        <w:pStyle w:val="ListParagraph"/>
        <w:numPr>
          <w:ilvl w:val="0"/>
          <w:numId w:val="18"/>
        </w:numPr>
        <w:tabs>
          <w:tab w:val="left" w:pos="640"/>
        </w:tabs>
        <w:ind w:leftChars="0"/>
        <w:jc w:val="both"/>
        <w:rPr>
          <w:szCs w:val="20"/>
        </w:rPr>
      </w:pPr>
      <w:r w:rsidRPr="00EF1791">
        <w:rPr>
          <w:szCs w:val="20"/>
        </w:rPr>
        <w:t>Develop evaluation methodology for duplex enhancement (RAN1)</w:t>
      </w:r>
    </w:p>
    <w:p w14:paraId="4F9526C1" w14:textId="77777777" w:rsidR="00DE5C43" w:rsidRDefault="00DE5C43" w:rsidP="00EF1791">
      <w:pPr>
        <w:tabs>
          <w:tab w:val="left" w:pos="640"/>
        </w:tabs>
        <w:jc w:val="both"/>
        <w:rPr>
          <w:sz w:val="20"/>
          <w:szCs w:val="20"/>
        </w:rPr>
      </w:pPr>
    </w:p>
    <w:p w14:paraId="7EAE4861" w14:textId="58A08ECE" w:rsidR="00EF1791" w:rsidRPr="00EF1791" w:rsidRDefault="00B87366" w:rsidP="00EF1791">
      <w:pPr>
        <w:tabs>
          <w:tab w:val="left" w:pos="640"/>
        </w:tabs>
        <w:jc w:val="both"/>
        <w:rPr>
          <w:sz w:val="20"/>
          <w:szCs w:val="20"/>
        </w:rPr>
      </w:pPr>
      <w:r>
        <w:rPr>
          <w:sz w:val="20"/>
          <w:szCs w:val="20"/>
        </w:rPr>
        <w:t>In RAN1#109-e, evaluation scenarios and assumptions were discussed, where as a result of such discussions an LS was sent to RAN4, [2], on how to identify and model different sources of interference to the victim UE, due to UE-to-UE CLI, and victim gNB, due to gNB-to-gNB CLI</w:t>
      </w:r>
      <w:r w:rsidR="009C3CE8">
        <w:rPr>
          <w:sz w:val="20"/>
          <w:szCs w:val="20"/>
        </w:rPr>
        <w:t xml:space="preserve"> and gNB self-interference</w:t>
      </w:r>
      <w:r>
        <w:rPr>
          <w:sz w:val="20"/>
          <w:szCs w:val="20"/>
        </w:rPr>
        <w:t>.</w:t>
      </w:r>
      <w:r w:rsidR="009C3CE8">
        <w:rPr>
          <w:sz w:val="20"/>
          <w:szCs w:val="20"/>
        </w:rPr>
        <w:t xml:space="preserve"> </w:t>
      </w:r>
      <w:r w:rsidR="001B28C8">
        <w:rPr>
          <w:sz w:val="20"/>
          <w:szCs w:val="20"/>
        </w:rPr>
        <w:t xml:space="preserve">In </w:t>
      </w:r>
      <w:r w:rsidR="00515F55">
        <w:rPr>
          <w:sz w:val="20"/>
          <w:szCs w:val="20"/>
        </w:rPr>
        <w:t>the past RAN1 meetings</w:t>
      </w:r>
      <w:r w:rsidR="001B28C8">
        <w:rPr>
          <w:sz w:val="20"/>
          <w:szCs w:val="20"/>
        </w:rPr>
        <w:t>,</w:t>
      </w:r>
      <w:r w:rsidR="0066205A">
        <w:rPr>
          <w:sz w:val="20"/>
          <w:szCs w:val="20"/>
        </w:rPr>
        <w:t xml:space="preserve"> </w:t>
      </w:r>
      <w:r w:rsidR="000A38C4">
        <w:rPr>
          <w:sz w:val="20"/>
          <w:szCs w:val="20"/>
        </w:rPr>
        <w:t xml:space="preserve">more detailed simulation assumptions </w:t>
      </w:r>
      <w:r w:rsidR="009B4563">
        <w:rPr>
          <w:sz w:val="20"/>
          <w:szCs w:val="20"/>
        </w:rPr>
        <w:t>were</w:t>
      </w:r>
      <w:r w:rsidR="000A38C4">
        <w:rPr>
          <w:sz w:val="20"/>
          <w:szCs w:val="20"/>
        </w:rPr>
        <w:t xml:space="preserve"> discussed whereas such of discussions couple of agreements are made. </w:t>
      </w:r>
      <w:r w:rsidR="00EF1791" w:rsidRPr="00EF1791">
        <w:rPr>
          <w:sz w:val="20"/>
          <w:szCs w:val="20"/>
        </w:rPr>
        <w:t xml:space="preserve">In </w:t>
      </w:r>
      <w:r w:rsidR="00EF1791">
        <w:rPr>
          <w:sz w:val="20"/>
          <w:szCs w:val="20"/>
        </w:rPr>
        <w:t xml:space="preserve">this contribution, </w:t>
      </w:r>
      <w:r w:rsidR="00532D80">
        <w:rPr>
          <w:sz w:val="20"/>
          <w:szCs w:val="20"/>
        </w:rPr>
        <w:t>which is mainly a resubmission of R1-</w:t>
      </w:r>
      <w:r w:rsidR="00532D80" w:rsidRPr="00532D80">
        <w:t xml:space="preserve"> </w:t>
      </w:r>
      <w:r w:rsidR="00532D80" w:rsidRPr="00532D80">
        <w:rPr>
          <w:sz w:val="20"/>
          <w:szCs w:val="20"/>
        </w:rPr>
        <w:t>2303481</w:t>
      </w:r>
      <w:r w:rsidR="00532D80">
        <w:rPr>
          <w:sz w:val="20"/>
          <w:szCs w:val="20"/>
        </w:rPr>
        <w:t xml:space="preserve">, </w:t>
      </w:r>
      <w:r w:rsidR="00EF1791">
        <w:rPr>
          <w:sz w:val="20"/>
          <w:szCs w:val="20"/>
        </w:rPr>
        <w:t>we share our evaluation</w:t>
      </w:r>
      <w:r w:rsidR="00DE5C43">
        <w:rPr>
          <w:sz w:val="20"/>
          <w:szCs w:val="20"/>
        </w:rPr>
        <w:t xml:space="preserve"> results on </w:t>
      </w:r>
      <w:r w:rsidR="00DE5C43" w:rsidRPr="00EF1791">
        <w:rPr>
          <w:sz w:val="20"/>
          <w:szCs w:val="20"/>
          <w:lang w:val="en-GB"/>
        </w:rPr>
        <w:t>duplex evolution for NR TDD</w:t>
      </w:r>
      <w:r w:rsidR="00515F55">
        <w:rPr>
          <w:sz w:val="20"/>
          <w:szCs w:val="20"/>
          <w:lang w:val="en-GB"/>
        </w:rPr>
        <w:t>, where the goal is to achieve an upper bound on the claimed system enhancements like coverage enhancement, and UL/DL system throughput</w:t>
      </w:r>
      <w:r w:rsidR="00DE5C43">
        <w:rPr>
          <w:sz w:val="20"/>
          <w:szCs w:val="20"/>
        </w:rPr>
        <w:t>.</w:t>
      </w:r>
      <w:r>
        <w:rPr>
          <w:sz w:val="20"/>
          <w:szCs w:val="20"/>
        </w:rPr>
        <w:t xml:space="preserve"> </w:t>
      </w:r>
    </w:p>
    <w:p w14:paraId="5182C78B" w14:textId="2C13B199" w:rsidR="005C77DE" w:rsidRDefault="005C77DE" w:rsidP="001E3D88">
      <w:pPr>
        <w:pStyle w:val="Heading1"/>
      </w:pPr>
      <w:r>
        <w:t xml:space="preserve">On system comparison between SBFD and non-SBFD </w:t>
      </w:r>
    </w:p>
    <w:p w14:paraId="53575EC6" w14:textId="03DEA3C6" w:rsidR="001E3D88" w:rsidRDefault="00060D3F" w:rsidP="005C77DE">
      <w:pPr>
        <w:pStyle w:val="Heading2"/>
      </w:pPr>
      <w:r>
        <w:t xml:space="preserve">Impact of SBFD </w:t>
      </w:r>
      <w:r w:rsidR="00761938">
        <w:t>slot</w:t>
      </w:r>
      <w:r>
        <w:t xml:space="preserve"> configuration on SBFD performance</w:t>
      </w:r>
    </w:p>
    <w:p w14:paraId="49A8BAFA" w14:textId="35663FB9" w:rsidR="00761938" w:rsidRDefault="00060D3F" w:rsidP="00E56843">
      <w:pPr>
        <w:jc w:val="both"/>
        <w:rPr>
          <w:rFonts w:cs="Batang"/>
          <w:sz w:val="20"/>
          <w:szCs w:val="20"/>
        </w:rPr>
      </w:pPr>
      <w:r w:rsidRPr="00060D3F">
        <w:rPr>
          <w:rFonts w:cs="Batang"/>
          <w:sz w:val="20"/>
          <w:szCs w:val="20"/>
        </w:rPr>
        <w:t xml:space="preserve">In previous meetings and for the purpose of evaluations, RAN1 achieved </w:t>
      </w:r>
      <w:r w:rsidR="00761938">
        <w:rPr>
          <w:rFonts w:cs="Batang"/>
          <w:sz w:val="20"/>
          <w:szCs w:val="20"/>
        </w:rPr>
        <w:t xml:space="preserve">good progress on how to model impacts due to SBFD operation </w:t>
      </w:r>
      <w:r w:rsidR="00E56843">
        <w:rPr>
          <w:rFonts w:cs="Batang"/>
          <w:sz w:val="20"/>
          <w:szCs w:val="20"/>
        </w:rPr>
        <w:t>on</w:t>
      </w:r>
      <w:r w:rsidR="00761938">
        <w:rPr>
          <w:rFonts w:cs="Batang"/>
          <w:sz w:val="20"/>
          <w:szCs w:val="20"/>
        </w:rPr>
        <w:t xml:space="preserve"> the link level and system level evaluations. For example, couple of options were agreed in RAN1#109 to model </w:t>
      </w:r>
      <w:r w:rsidR="00E56843">
        <w:rPr>
          <w:rFonts w:cs="Batang"/>
          <w:sz w:val="20"/>
          <w:szCs w:val="20"/>
        </w:rPr>
        <w:t xml:space="preserve">different </w:t>
      </w:r>
      <w:r w:rsidR="00761938" w:rsidRPr="00060D3F">
        <w:rPr>
          <w:rFonts w:cs="Batang"/>
          <w:sz w:val="20"/>
          <w:szCs w:val="20"/>
        </w:rPr>
        <w:t>BS antenna configuration for SBFD vs legacy TDD operation</w:t>
      </w:r>
      <w:r w:rsidR="00761938">
        <w:rPr>
          <w:rFonts w:cs="Batang"/>
          <w:sz w:val="20"/>
          <w:szCs w:val="20"/>
        </w:rPr>
        <w:t>.</w:t>
      </w:r>
    </w:p>
    <w:p w14:paraId="1880946C" w14:textId="77777777" w:rsidR="00060D3F" w:rsidRDefault="00060D3F" w:rsidP="00060D3F">
      <w:pPr>
        <w:rPr>
          <w:rFonts w:cs="Batang"/>
          <w:sz w:val="20"/>
          <w:szCs w:val="20"/>
        </w:rPr>
      </w:pPr>
    </w:p>
    <w:p w14:paraId="45DBA4EA" w14:textId="77777777" w:rsidR="00060D3F" w:rsidRPr="00060D3F" w:rsidRDefault="00060D3F" w:rsidP="00060D3F">
      <w:pPr>
        <w:rPr>
          <w:b/>
          <w:sz w:val="20"/>
          <w:szCs w:val="20"/>
          <w:highlight w:val="green"/>
          <w:lang w:eastAsia="ko-KR"/>
        </w:rPr>
      </w:pPr>
      <w:r w:rsidRPr="00060D3F">
        <w:rPr>
          <w:b/>
          <w:sz w:val="20"/>
          <w:szCs w:val="20"/>
          <w:highlight w:val="green"/>
          <w:lang w:eastAsia="ko-KR"/>
        </w:rPr>
        <w:t>Agreement</w:t>
      </w:r>
    </w:p>
    <w:p w14:paraId="16528033" w14:textId="77777777" w:rsidR="00060D3F" w:rsidRPr="00060D3F" w:rsidRDefault="00060D3F" w:rsidP="00060D3F">
      <w:pPr>
        <w:rPr>
          <w:color w:val="000000"/>
          <w:sz w:val="20"/>
          <w:szCs w:val="20"/>
        </w:rPr>
      </w:pPr>
      <w:r w:rsidRPr="00060D3F">
        <w:rPr>
          <w:sz w:val="20"/>
          <w:szCs w:val="20"/>
        </w:rPr>
        <w:t xml:space="preserve">For evaluation and comparison between SBFD and legacy TDD, assume the total number of TxRUs of the antenna array </w:t>
      </w:r>
      <w:r w:rsidRPr="00060D3F">
        <w:rPr>
          <w:color w:val="000000"/>
          <w:sz w:val="20"/>
          <w:szCs w:val="20"/>
        </w:rPr>
        <w:t>for SBFD is the same as the total number of TxRUs of the antenna array for legacy TDD. Regarding antenna elements, both of the two options can be used.</w:t>
      </w:r>
    </w:p>
    <w:p w14:paraId="760CDA2C" w14:textId="77777777" w:rsidR="00060D3F" w:rsidRPr="00060D3F" w:rsidRDefault="00060D3F" w:rsidP="00060D3F">
      <w:pPr>
        <w:numPr>
          <w:ilvl w:val="0"/>
          <w:numId w:val="24"/>
        </w:numPr>
        <w:rPr>
          <w:sz w:val="20"/>
          <w:szCs w:val="20"/>
        </w:rPr>
      </w:pPr>
      <w:r w:rsidRPr="00060D3F">
        <w:rPr>
          <w:rFonts w:hint="eastAsia"/>
          <w:sz w:val="20"/>
          <w:szCs w:val="20"/>
        </w:rPr>
        <w:t>Opt 1: The total number of antenna elements of the antenna array for SBFD is the same as the total number of antenna elements of the antenna array for legacy TDD.</w:t>
      </w:r>
    </w:p>
    <w:p w14:paraId="661ACC48" w14:textId="77777777" w:rsidR="00060D3F" w:rsidRPr="00060D3F" w:rsidRDefault="00060D3F" w:rsidP="00060D3F">
      <w:pPr>
        <w:numPr>
          <w:ilvl w:val="0"/>
          <w:numId w:val="24"/>
        </w:numPr>
        <w:rPr>
          <w:sz w:val="20"/>
          <w:szCs w:val="20"/>
        </w:rPr>
      </w:pPr>
      <w:r w:rsidRPr="00060D3F">
        <w:rPr>
          <w:rFonts w:hint="eastAsia"/>
          <w:sz w:val="20"/>
          <w:szCs w:val="20"/>
        </w:rPr>
        <w:t>Opt 2: The total number of antenna elements of the antenna array for SBFD is two times of the total number of antenna elements of the antenna array for legacy TDD.</w:t>
      </w:r>
    </w:p>
    <w:p w14:paraId="2D1BE191" w14:textId="77777777" w:rsidR="00060D3F" w:rsidRPr="00060D3F" w:rsidRDefault="00060D3F" w:rsidP="00060D3F">
      <w:pPr>
        <w:numPr>
          <w:ilvl w:val="0"/>
          <w:numId w:val="24"/>
        </w:numPr>
        <w:rPr>
          <w:sz w:val="20"/>
          <w:szCs w:val="20"/>
        </w:rPr>
      </w:pPr>
      <w:r w:rsidRPr="00060D3F">
        <w:rPr>
          <w:rFonts w:hint="eastAsia"/>
          <w:sz w:val="20"/>
          <w:szCs w:val="20"/>
        </w:rPr>
        <w:t>Companies report which option is assumed in their simulation.</w:t>
      </w:r>
    </w:p>
    <w:p w14:paraId="708F55CE" w14:textId="77777777" w:rsidR="00060D3F" w:rsidRPr="00060D3F" w:rsidRDefault="00060D3F" w:rsidP="00060D3F">
      <w:pPr>
        <w:rPr>
          <w:rFonts w:cs="Batang"/>
          <w:sz w:val="20"/>
          <w:szCs w:val="20"/>
        </w:rPr>
      </w:pPr>
    </w:p>
    <w:p w14:paraId="2B5AF2EB" w14:textId="5F5B0F42" w:rsidR="00761938" w:rsidRDefault="00060D3F" w:rsidP="000115C8">
      <w:pPr>
        <w:pStyle w:val="0Maintext"/>
        <w:spacing w:after="120" w:afterAutospacing="0" w:line="240" w:lineRule="auto"/>
        <w:ind w:firstLine="0"/>
        <w:rPr>
          <w:lang w:val="en-US" w:eastAsia="zh-CN"/>
        </w:rPr>
      </w:pPr>
      <w:r>
        <w:rPr>
          <w:lang w:val="en-US" w:eastAsia="zh-CN"/>
        </w:rPr>
        <w:t>Later in RAN1#11</w:t>
      </w:r>
      <w:r w:rsidR="00761938">
        <w:rPr>
          <w:lang w:val="en-US" w:eastAsia="zh-CN"/>
        </w:rPr>
        <w:t>2b-e</w:t>
      </w:r>
      <w:r w:rsidR="00B7750B">
        <w:rPr>
          <w:lang w:val="en-US" w:eastAsia="zh-CN"/>
        </w:rPr>
        <w:t xml:space="preserve">, </w:t>
      </w:r>
      <w:r w:rsidR="00E56843">
        <w:rPr>
          <w:lang w:val="en-US" w:eastAsia="zh-CN"/>
        </w:rPr>
        <w:t>it was agreed to consider self-interference, co-site and inter-site gNB-to-gNB cross link interference (which are only observed if gNB is performing full-duplex operation).</w:t>
      </w:r>
    </w:p>
    <w:p w14:paraId="61638CDE" w14:textId="77777777" w:rsidR="00761938" w:rsidRPr="00761938" w:rsidRDefault="00761938" w:rsidP="00761938">
      <w:pPr>
        <w:rPr>
          <w:b/>
          <w:sz w:val="20"/>
          <w:szCs w:val="20"/>
          <w:highlight w:val="green"/>
        </w:rPr>
      </w:pPr>
      <w:r w:rsidRPr="00761938">
        <w:rPr>
          <w:b/>
          <w:sz w:val="20"/>
          <w:szCs w:val="20"/>
          <w:highlight w:val="green"/>
        </w:rPr>
        <w:t>Agreement</w:t>
      </w:r>
    </w:p>
    <w:p w14:paraId="432014F0" w14:textId="06B8251E" w:rsidR="00761938" w:rsidRPr="00761938" w:rsidRDefault="00761938" w:rsidP="00761938">
      <w:pPr>
        <w:rPr>
          <w:rFonts w:cs="Calibri"/>
          <w:iCs/>
          <w:sz w:val="20"/>
          <w:szCs w:val="20"/>
        </w:rPr>
      </w:pPr>
      <w:r w:rsidRPr="00761938">
        <w:rPr>
          <w:rFonts w:cs="Calibri"/>
          <w:iCs/>
          <w:sz w:val="20"/>
          <w:szCs w:val="20"/>
        </w:rPr>
        <w:t>For LLS coverage evaluation, RAN1 should consider self-interference,</w:t>
      </w:r>
      <w:r w:rsidRPr="00761938">
        <w:rPr>
          <w:sz w:val="20"/>
          <w:szCs w:val="20"/>
        </w:rPr>
        <w:t xml:space="preserve"> </w:t>
      </w:r>
      <w:r w:rsidRPr="00761938">
        <w:rPr>
          <w:rFonts w:cs="Calibri"/>
          <w:iCs/>
          <w:sz w:val="20"/>
          <w:szCs w:val="20"/>
        </w:rPr>
        <w:t xml:space="preserve">co-site inter-sector interference, inter-site gNB-gNB co-channel inter-subband CLI and UE-gNB interference in TDD system and SBFD system. </w:t>
      </w:r>
    </w:p>
    <w:p w14:paraId="3E3F3262" w14:textId="77777777" w:rsidR="00761938" w:rsidRDefault="00761938" w:rsidP="000115C8">
      <w:pPr>
        <w:pStyle w:val="0Maintext"/>
        <w:spacing w:after="120" w:afterAutospacing="0" w:line="240" w:lineRule="auto"/>
        <w:ind w:firstLine="0"/>
        <w:rPr>
          <w:lang w:val="en-US" w:eastAsia="zh-CN"/>
        </w:rPr>
      </w:pPr>
    </w:p>
    <w:p w14:paraId="2FA27FDE" w14:textId="171B4F13" w:rsidR="00E56843" w:rsidRPr="0023791D" w:rsidRDefault="00E56843" w:rsidP="000115C8">
      <w:pPr>
        <w:pStyle w:val="0Maintext"/>
        <w:spacing w:after="120" w:afterAutospacing="0" w:line="240" w:lineRule="auto"/>
        <w:ind w:firstLine="0"/>
        <w:rPr>
          <w:rFonts w:cs="Calibri"/>
          <w:iCs/>
        </w:rPr>
      </w:pPr>
      <w:r>
        <w:rPr>
          <w:lang w:val="en-US" w:eastAsia="zh-CN"/>
        </w:rPr>
        <w:t xml:space="preserve">Here we should note that the impact of SBFD operation at gNB is not limited to different BS antenna configuration and self-interference or gNB-to-gNB CLI. </w:t>
      </w:r>
      <w:r>
        <w:rPr>
          <w:rFonts w:cs="Calibri"/>
          <w:iCs/>
        </w:rPr>
        <w:t xml:space="preserve">For instance, for </w:t>
      </w:r>
      <w:r w:rsidR="0023791D">
        <w:rPr>
          <w:rFonts w:cs="Calibri"/>
          <w:iCs/>
        </w:rPr>
        <w:t>a SBFD</w:t>
      </w:r>
      <w:r>
        <w:rPr>
          <w:rFonts w:cs="Calibri"/>
          <w:iCs/>
        </w:rPr>
        <w:t xml:space="preserve"> XXXXX slot configuration</w:t>
      </w:r>
      <w:r w:rsidR="0023791D">
        <w:rPr>
          <w:rFonts w:cs="Calibri"/>
          <w:iCs/>
        </w:rPr>
        <w:t xml:space="preserve"> with X as DUD sub-band allocation</w:t>
      </w:r>
      <w:r>
        <w:rPr>
          <w:rFonts w:cs="Calibri"/>
          <w:iCs/>
        </w:rPr>
        <w:t xml:space="preserve">, </w:t>
      </w:r>
      <w:r w:rsidR="0023791D">
        <w:rPr>
          <w:rFonts w:cs="Calibri"/>
          <w:iCs/>
        </w:rPr>
        <w:t xml:space="preserve">in comparison with legacy TDD DDDSU slot configuration and assuming the same percentage of UL resource between TDD and SBFD slots,  </w:t>
      </w:r>
      <w:r>
        <w:rPr>
          <w:rFonts w:cs="Calibri"/>
          <w:iCs/>
        </w:rPr>
        <w:t xml:space="preserve">UE is never given the opportunity to sound SRS on a </w:t>
      </w:r>
      <w:r>
        <w:rPr>
          <w:rFonts w:cs="Calibri"/>
          <w:iCs/>
        </w:rPr>
        <w:lastRenderedPageBreak/>
        <w:t>larger BWP</w:t>
      </w:r>
      <w:r w:rsidR="0023791D">
        <w:rPr>
          <w:rFonts w:cs="Calibri"/>
          <w:iCs/>
        </w:rPr>
        <w:t xml:space="preserve"> in SBFD slot. As a result,</w:t>
      </w:r>
      <w:r>
        <w:rPr>
          <w:rFonts w:cs="Calibri"/>
          <w:iCs/>
        </w:rPr>
        <w:t xml:space="preserve"> channel reciprocity will be impacted as UE is limited to sounding only within UL sub-band, while UE is never scheduled for DL reception within UL sub-band.</w:t>
      </w:r>
      <w:r w:rsidR="006E0F5F">
        <w:rPr>
          <w:rFonts w:cs="Calibri"/>
          <w:iCs/>
        </w:rPr>
        <w:t xml:space="preserve"> In other words, UE is scheduled for DL reception on a portion of DL BWP for which UE never p</w:t>
      </w:r>
      <w:r w:rsidR="0023791D">
        <w:rPr>
          <w:rFonts w:cs="Calibri"/>
          <w:iCs/>
        </w:rPr>
        <w:t xml:space="preserve">erformed provided SRS sounding. This impact to channel reciprocity, and consequently achievable DL throughput, should be modelled in both LLS and SLS. </w:t>
      </w:r>
    </w:p>
    <w:p w14:paraId="1692EA98" w14:textId="7A517DC8" w:rsidR="001F3D62" w:rsidRDefault="001F3D62" w:rsidP="00C67936">
      <w:pPr>
        <w:pStyle w:val="0Maintext"/>
        <w:spacing w:after="120" w:afterAutospacing="0" w:line="240" w:lineRule="auto"/>
        <w:ind w:firstLine="0"/>
      </w:pPr>
      <w:r w:rsidRPr="0073434C">
        <w:rPr>
          <w:b/>
          <w:bCs/>
          <w:lang w:val="en-US" w:eastAsia="zh-CN"/>
        </w:rPr>
        <w:t xml:space="preserve">Proposal </w:t>
      </w:r>
      <w:r w:rsidR="00BD26B1">
        <w:rPr>
          <w:b/>
          <w:bCs/>
          <w:lang w:val="en-US" w:eastAsia="zh-CN"/>
        </w:rPr>
        <w:t>1</w:t>
      </w:r>
      <w:r w:rsidRPr="0073434C">
        <w:rPr>
          <w:lang w:val="en-US" w:eastAsia="zh-CN"/>
        </w:rPr>
        <w:t xml:space="preserve">: </w:t>
      </w:r>
      <w:r w:rsidR="00C67936" w:rsidRPr="0073434C">
        <w:t>RAN1 to consider the impact of</w:t>
      </w:r>
      <w:r w:rsidRPr="0073434C">
        <w:rPr>
          <w:lang w:val="en-US"/>
        </w:rPr>
        <w:t xml:space="preserve"> </w:t>
      </w:r>
      <w:r w:rsidR="00C67936" w:rsidRPr="0073434C">
        <w:t>channel reciprocity</w:t>
      </w:r>
      <w:r w:rsidR="0023791D">
        <w:t xml:space="preserve"> loss to DL performance.</w:t>
      </w:r>
    </w:p>
    <w:p w14:paraId="7469E20F" w14:textId="2540CDBA" w:rsidR="005C77DE" w:rsidRPr="005C77DE" w:rsidRDefault="005C77DE" w:rsidP="005C77DE">
      <w:pPr>
        <w:pStyle w:val="Heading2"/>
      </w:pPr>
      <w:r w:rsidRPr="005C77DE">
        <w:t xml:space="preserve">UL transmission in SBFD </w:t>
      </w:r>
      <w:r>
        <w:t>versus</w:t>
      </w:r>
      <w:r w:rsidRPr="005C77DE">
        <w:t xml:space="preserve"> non-SBFD slots</w:t>
      </w:r>
    </w:p>
    <w:p w14:paraId="296A722F" w14:textId="2B603FFB" w:rsidR="005C77DE" w:rsidRDefault="00291333" w:rsidP="00C67936">
      <w:pPr>
        <w:pStyle w:val="0Maintext"/>
        <w:spacing w:after="120" w:afterAutospacing="0" w:line="240" w:lineRule="auto"/>
        <w:ind w:firstLine="0"/>
      </w:pPr>
      <w:r>
        <w:t>As it will be discussed in our companion contribution in [</w:t>
      </w:r>
      <w:r w:rsidR="00B33508">
        <w:t>3</w:t>
      </w:r>
      <w:r>
        <w:t xml:space="preserve">], aggressive UE in uplink transmission within SBFD </w:t>
      </w:r>
      <w:r w:rsidR="00B33508">
        <w:t>slots</w:t>
      </w:r>
      <w:r>
        <w:t xml:space="preserve"> may have to </w:t>
      </w:r>
      <w:r w:rsidR="00B33508">
        <w:t>apply</w:t>
      </w:r>
      <w:r>
        <w:t xml:space="preserve"> different </w:t>
      </w:r>
      <w:r w:rsidR="00B33508">
        <w:t xml:space="preserve">uplink </w:t>
      </w:r>
      <w:r>
        <w:t>power adjustment parameters</w:t>
      </w:r>
      <w:r w:rsidR="00B33508">
        <w:t xml:space="preserve"> (like P0, etc), than uplink transmission in legacy non-SBFD slots, just to manage better CLI to the victim nearby UE. Reduced PUSCH transmit power has direct impact on coverage and throughput.  </w:t>
      </w:r>
    </w:p>
    <w:p w14:paraId="2D7BAD56" w14:textId="208113FA" w:rsidR="00B33508" w:rsidRDefault="00B33508" w:rsidP="00B33508">
      <w:pPr>
        <w:pStyle w:val="0Maintext"/>
        <w:spacing w:after="120" w:afterAutospacing="0" w:line="240" w:lineRule="auto"/>
        <w:ind w:firstLine="0"/>
      </w:pPr>
      <w:r w:rsidRPr="0073434C">
        <w:rPr>
          <w:b/>
          <w:bCs/>
          <w:lang w:val="en-US" w:eastAsia="zh-CN"/>
        </w:rPr>
        <w:t xml:space="preserve">Proposal </w:t>
      </w:r>
      <w:r>
        <w:rPr>
          <w:b/>
          <w:bCs/>
          <w:lang w:val="en-US" w:eastAsia="zh-CN"/>
        </w:rPr>
        <w:t>2</w:t>
      </w:r>
      <w:r w:rsidRPr="0073434C">
        <w:rPr>
          <w:lang w:val="en-US" w:eastAsia="zh-CN"/>
        </w:rPr>
        <w:t xml:space="preserve">: </w:t>
      </w:r>
      <w:r w:rsidRPr="0073434C">
        <w:t xml:space="preserve">RAN1 to consider the impact </w:t>
      </w:r>
      <w:r>
        <w:t>of potentially reduced transmit power</w:t>
      </w:r>
      <w:r w:rsidRPr="0073434C">
        <w:t xml:space="preserve"> </w:t>
      </w:r>
      <w:r>
        <w:t xml:space="preserve">for uplink transmission </w:t>
      </w:r>
      <w:r w:rsidRPr="0073434C">
        <w:t>on SBFD</w:t>
      </w:r>
      <w:r>
        <w:t xml:space="preserve"> slots</w:t>
      </w:r>
      <w:r w:rsidRPr="0073434C">
        <w:t xml:space="preserve"> </w:t>
      </w:r>
      <w:r>
        <w:t xml:space="preserve">to SBFD </w:t>
      </w:r>
      <w:r w:rsidRPr="0073434C">
        <w:t>performance.</w:t>
      </w:r>
    </w:p>
    <w:p w14:paraId="0D5FC0FF" w14:textId="77777777" w:rsidR="00B33508" w:rsidRDefault="00B33508" w:rsidP="00C67936">
      <w:pPr>
        <w:pStyle w:val="0Maintext"/>
        <w:spacing w:after="120" w:afterAutospacing="0" w:line="240" w:lineRule="auto"/>
        <w:ind w:firstLine="0"/>
      </w:pPr>
    </w:p>
    <w:p w14:paraId="6C747B36" w14:textId="52F81429" w:rsidR="00630113" w:rsidRPr="005C77DE" w:rsidRDefault="00630113" w:rsidP="00630113">
      <w:pPr>
        <w:pStyle w:val="Heading2"/>
      </w:pPr>
      <w:r>
        <w:t>Joint channel estimation</w:t>
      </w:r>
    </w:p>
    <w:p w14:paraId="04F2AA1B" w14:textId="0E80C40D" w:rsidR="00630113" w:rsidRDefault="00CA24CB" w:rsidP="00C67936">
      <w:pPr>
        <w:pStyle w:val="0Maintext"/>
        <w:spacing w:after="120" w:afterAutospacing="0" w:line="240" w:lineRule="auto"/>
        <w:ind w:firstLine="0"/>
      </w:pPr>
      <w:r>
        <w:t>In theory, one advantage of SBFD slot over legacy TDD slot is to have contiguous UL resources. In R17, PUSCH repetition with joint channel estimation is specified, subject to UE capability to maintain phase continuity across different repetitions. Of course, there are some requirements that shall be met by scheduler, like the time gap between the two consecutive UL repetitions, whether any DL can be scheduled between two consecutive UL repetitions, etc. In Rel-18 FD evolution, joint channel estimation across different slot types, i.e. SBFD and non-SBFD, is still under study to consider possible requirements and achievable gain. In RAN1#112b-e, it was agreed that:</w:t>
      </w:r>
    </w:p>
    <w:p w14:paraId="3C2398FD" w14:textId="77777777" w:rsidR="00CA24CB" w:rsidRPr="00CA24CB" w:rsidRDefault="00CA24CB" w:rsidP="00CA24CB">
      <w:pPr>
        <w:rPr>
          <w:b/>
          <w:bCs/>
          <w:sz w:val="20"/>
          <w:szCs w:val="20"/>
          <w:highlight w:val="green"/>
          <w:lang w:eastAsia="ko-KR"/>
        </w:rPr>
      </w:pPr>
      <w:r w:rsidRPr="00CA24CB">
        <w:rPr>
          <w:b/>
          <w:bCs/>
          <w:sz w:val="20"/>
          <w:szCs w:val="20"/>
          <w:highlight w:val="green"/>
          <w:lang w:eastAsia="ko-KR"/>
        </w:rPr>
        <w:t>Agreement</w:t>
      </w:r>
    </w:p>
    <w:p w14:paraId="3CB0EB7E" w14:textId="77777777" w:rsidR="00CA24CB" w:rsidRPr="00CA24CB" w:rsidRDefault="00CA24CB" w:rsidP="00CA24CB">
      <w:pPr>
        <w:rPr>
          <w:sz w:val="20"/>
          <w:szCs w:val="20"/>
        </w:rPr>
      </w:pPr>
      <w:r w:rsidRPr="00CA24CB">
        <w:rPr>
          <w:sz w:val="20"/>
          <w:szCs w:val="20"/>
        </w:rPr>
        <w:t xml:space="preserve">Regarding the Case 4 and Case 5 of </w:t>
      </w:r>
      <w:r w:rsidRPr="00CA24CB">
        <w:rPr>
          <w:rFonts w:cs="Times"/>
          <w:iCs/>
          <w:sz w:val="20"/>
          <w:szCs w:val="20"/>
        </w:rPr>
        <w:t>schemes for PUSCH LLS coverage evaluation,</w:t>
      </w:r>
      <w:r w:rsidRPr="00CA24CB">
        <w:rPr>
          <w:sz w:val="20"/>
          <w:szCs w:val="20"/>
        </w:rPr>
        <w:t xml:space="preserve"> two options are considered:</w:t>
      </w:r>
    </w:p>
    <w:p w14:paraId="6A47027C" w14:textId="77777777" w:rsidR="00CA24CB" w:rsidRPr="00CA24CB" w:rsidRDefault="00CA24CB" w:rsidP="00CA24CB">
      <w:pPr>
        <w:numPr>
          <w:ilvl w:val="0"/>
          <w:numId w:val="27"/>
        </w:numPr>
        <w:rPr>
          <w:sz w:val="20"/>
          <w:szCs w:val="20"/>
        </w:rPr>
      </w:pPr>
      <w:r w:rsidRPr="00CA24CB">
        <w:rPr>
          <w:sz w:val="20"/>
          <w:szCs w:val="20"/>
        </w:rPr>
        <w:t>Option 1 (baseline): joint channel estimation is applied only for the same symbol type</w:t>
      </w:r>
    </w:p>
    <w:p w14:paraId="4137345A" w14:textId="77777777" w:rsidR="00CA24CB" w:rsidRPr="00CA24CB" w:rsidRDefault="00CA24CB" w:rsidP="00CA24CB">
      <w:pPr>
        <w:numPr>
          <w:ilvl w:val="0"/>
          <w:numId w:val="27"/>
        </w:numPr>
        <w:rPr>
          <w:sz w:val="20"/>
          <w:szCs w:val="20"/>
        </w:rPr>
      </w:pPr>
      <w:r w:rsidRPr="00CA24CB">
        <w:rPr>
          <w:sz w:val="20"/>
          <w:szCs w:val="20"/>
        </w:rPr>
        <w:t>Option 2: joint channel estimation is applied across SBFD and non-SBFD slots</w:t>
      </w:r>
    </w:p>
    <w:p w14:paraId="4A7D188C" w14:textId="77777777" w:rsidR="00CA24CB" w:rsidRDefault="00CA24CB" w:rsidP="00C67936">
      <w:pPr>
        <w:pStyle w:val="0Maintext"/>
        <w:spacing w:after="120" w:afterAutospacing="0" w:line="240" w:lineRule="auto"/>
        <w:ind w:firstLine="0"/>
      </w:pPr>
    </w:p>
    <w:p w14:paraId="11D31DD0" w14:textId="3B121E28" w:rsidR="00CA24CB" w:rsidRDefault="00CA24CB" w:rsidP="00C67936">
      <w:pPr>
        <w:pStyle w:val="0Maintext"/>
        <w:spacing w:after="120" w:afterAutospacing="0" w:line="240" w:lineRule="auto"/>
        <w:ind w:firstLine="0"/>
      </w:pPr>
      <w:r>
        <w:t>Although in the above agreement joint channel estimation across different slot types, option 2, is not considered as baseline, but given that the requirements (like whether or not such repetitions are allowed, etc) are still under study, we propose to de-prioritize Option 2.</w:t>
      </w:r>
    </w:p>
    <w:p w14:paraId="12B946C5" w14:textId="568CCB5F" w:rsidR="00CA24CB" w:rsidRPr="00CA24CB" w:rsidRDefault="00CA24CB" w:rsidP="00CA24CB">
      <w:pPr>
        <w:pStyle w:val="0Maintext"/>
        <w:spacing w:after="120" w:afterAutospacing="0" w:line="240" w:lineRule="auto"/>
        <w:ind w:firstLine="0"/>
      </w:pPr>
      <w:r w:rsidRPr="0073434C">
        <w:rPr>
          <w:b/>
          <w:bCs/>
          <w:lang w:val="en-US" w:eastAsia="zh-CN"/>
        </w:rPr>
        <w:t xml:space="preserve">Proposal </w:t>
      </w:r>
      <w:r>
        <w:rPr>
          <w:b/>
          <w:bCs/>
          <w:lang w:val="en-US" w:eastAsia="zh-CN"/>
        </w:rPr>
        <w:t>3</w:t>
      </w:r>
      <w:r w:rsidRPr="0073434C">
        <w:rPr>
          <w:lang w:val="en-US" w:eastAsia="zh-CN"/>
        </w:rPr>
        <w:t>:</w:t>
      </w:r>
      <w:r>
        <w:t xml:space="preserve"> </w:t>
      </w:r>
      <w:r w:rsidRPr="00CA24CB">
        <w:rPr>
          <w:lang w:val="en-US"/>
        </w:rPr>
        <w:t>For PUSCH LLS coverage evaluation, do not assume joint channel estimation across SBFD and non-</w:t>
      </w:r>
    </w:p>
    <w:p w14:paraId="1F17F39A" w14:textId="7262EFF3" w:rsidR="00CA24CB" w:rsidRDefault="00CA24CB" w:rsidP="00CA24CB">
      <w:pPr>
        <w:pStyle w:val="0Maintext"/>
        <w:spacing w:after="120" w:afterAutospacing="0" w:line="240" w:lineRule="auto"/>
        <w:ind w:firstLine="0"/>
      </w:pPr>
      <w:r w:rsidRPr="00CA24CB">
        <w:rPr>
          <w:lang w:val="en-US"/>
        </w:rPr>
        <w:t>SBFD slots</w:t>
      </w:r>
      <w:r>
        <w:rPr>
          <w:lang w:val="en-US"/>
        </w:rPr>
        <w:t>.</w:t>
      </w:r>
    </w:p>
    <w:p w14:paraId="0710119F" w14:textId="77777777" w:rsidR="00CA24CB" w:rsidRDefault="00CA24CB" w:rsidP="00C67936">
      <w:pPr>
        <w:pStyle w:val="0Maintext"/>
        <w:spacing w:after="120" w:afterAutospacing="0" w:line="240" w:lineRule="auto"/>
        <w:ind w:firstLine="0"/>
      </w:pPr>
    </w:p>
    <w:p w14:paraId="6A92639E" w14:textId="77777777" w:rsidR="00BD26B1" w:rsidRDefault="00BD26B1" w:rsidP="00BD26B1">
      <w:pPr>
        <w:pStyle w:val="Heading1"/>
      </w:pPr>
      <w:r>
        <w:t>Deployment Scenario</w:t>
      </w:r>
    </w:p>
    <w:p w14:paraId="0D049206" w14:textId="77777777" w:rsidR="00BD26B1" w:rsidRDefault="00BD26B1" w:rsidP="00BD26B1">
      <w:pPr>
        <w:jc w:val="both"/>
        <w:rPr>
          <w:sz w:val="20"/>
          <w:szCs w:val="20"/>
          <w:lang w:val="en-GB"/>
        </w:rPr>
      </w:pPr>
      <w:r>
        <w:rPr>
          <w:sz w:val="20"/>
          <w:szCs w:val="20"/>
          <w:lang w:val="en-GB"/>
        </w:rPr>
        <w:t>Regarding the deployment cases, in RAN1#109-e it was agreed that</w:t>
      </w:r>
    </w:p>
    <w:p w14:paraId="036299B2" w14:textId="77777777" w:rsidR="00BD26B1" w:rsidRPr="00D41E6C" w:rsidRDefault="00BD26B1" w:rsidP="00BD26B1">
      <w:pPr>
        <w:rPr>
          <w:b/>
          <w:sz w:val="20"/>
          <w:szCs w:val="20"/>
          <w:highlight w:val="green"/>
          <w:lang w:eastAsia="ko-KR"/>
        </w:rPr>
      </w:pPr>
      <w:r w:rsidRPr="00D41E6C">
        <w:rPr>
          <w:b/>
          <w:sz w:val="20"/>
          <w:szCs w:val="20"/>
          <w:highlight w:val="green"/>
          <w:lang w:eastAsia="ko-KR"/>
        </w:rPr>
        <w:t>Agreement</w:t>
      </w:r>
    </w:p>
    <w:p w14:paraId="78AEE6E6" w14:textId="77777777" w:rsidR="00BD26B1" w:rsidRPr="00D41E6C" w:rsidRDefault="00BD26B1" w:rsidP="00BD26B1">
      <w:pPr>
        <w:rPr>
          <w:bCs/>
          <w:iCs/>
          <w:sz w:val="20"/>
          <w:szCs w:val="20"/>
        </w:rPr>
      </w:pPr>
      <w:r w:rsidRPr="00D41E6C">
        <w:rPr>
          <w:bCs/>
          <w:iCs/>
          <w:sz w:val="20"/>
          <w:szCs w:val="20"/>
        </w:rPr>
        <w:t>For discussion purpose for evaluation, define the following deployment cases for SBFD:</w:t>
      </w:r>
    </w:p>
    <w:p w14:paraId="68DD1052" w14:textId="77777777" w:rsidR="00BD26B1" w:rsidRPr="00D41E6C" w:rsidRDefault="00BD26B1" w:rsidP="00BD26B1">
      <w:pPr>
        <w:pStyle w:val="ListParagraph"/>
        <w:numPr>
          <w:ilvl w:val="0"/>
          <w:numId w:val="23"/>
        </w:numPr>
        <w:ind w:leftChars="0" w:hanging="357"/>
        <w:rPr>
          <w:rFonts w:ascii="Times New Roman" w:hAnsi="Times New Roman"/>
          <w:bCs/>
          <w:iCs/>
          <w:szCs w:val="20"/>
        </w:rPr>
      </w:pPr>
      <w:r w:rsidRPr="00D41E6C">
        <w:rPr>
          <w:rFonts w:ascii="Times New Roman" w:hAnsi="Times New Roman"/>
          <w:bCs/>
          <w:iCs/>
          <w:szCs w:val="20"/>
        </w:rPr>
        <w:t>Deployment Case 1 (Non-coexistence case with single SBFD subband configuration): One single operator using one single carrier is considered. All the cells belonging to the operator use SBFD operation with the same SBFD subband configuration.</w:t>
      </w:r>
    </w:p>
    <w:p w14:paraId="03C802EB" w14:textId="77777777" w:rsidR="00BD26B1" w:rsidRPr="00D41E6C" w:rsidRDefault="00BD26B1" w:rsidP="00BD26B1">
      <w:pPr>
        <w:pStyle w:val="ListParagraph"/>
        <w:numPr>
          <w:ilvl w:val="0"/>
          <w:numId w:val="23"/>
        </w:numPr>
        <w:ind w:leftChars="0"/>
        <w:rPr>
          <w:rFonts w:ascii="Times New Roman" w:hAnsi="Times New Roman"/>
          <w:bCs/>
          <w:iCs/>
          <w:szCs w:val="20"/>
        </w:rPr>
      </w:pPr>
      <w:r w:rsidRPr="00D41E6C">
        <w:rPr>
          <w:rFonts w:ascii="Times New Roman" w:hAnsi="Times New Roman"/>
          <w:bCs/>
          <w:iCs/>
          <w:szCs w:val="20"/>
        </w:rPr>
        <w:t>Deployment Case 2 (Non-coexistence case with multiple SBFD subband configurations): One single operator using one single carrier is considered. All the cells belonging to the operator use SBFD operation, but different cells may use different SBFD subband configurations.</w:t>
      </w:r>
    </w:p>
    <w:p w14:paraId="2B249EC7" w14:textId="77777777" w:rsidR="00BD26B1" w:rsidRPr="00D41E6C" w:rsidRDefault="00BD26B1" w:rsidP="00BD26B1">
      <w:pPr>
        <w:pStyle w:val="ListParagraph"/>
        <w:numPr>
          <w:ilvl w:val="0"/>
          <w:numId w:val="23"/>
        </w:numPr>
        <w:ind w:leftChars="0"/>
        <w:rPr>
          <w:rFonts w:ascii="Times New Roman" w:hAnsi="Times New Roman"/>
          <w:bCs/>
          <w:iCs/>
          <w:szCs w:val="20"/>
        </w:rPr>
      </w:pPr>
      <w:r w:rsidRPr="00D41E6C">
        <w:rPr>
          <w:rFonts w:ascii="Times New Roman" w:hAnsi="Times New Roman"/>
          <w:bCs/>
          <w:iCs/>
          <w:szCs w:val="20"/>
        </w:rPr>
        <w:t>Deployment Case 3 (Co-channel co-existence case): One single operator using one single carrier is considered. Among the cells belonging to the operator, some of them use legacy TDD operation (static TDD operation) while the others use SBFD operation with the same SBFD subband configuration.</w:t>
      </w:r>
    </w:p>
    <w:p w14:paraId="36EC14FB" w14:textId="77777777" w:rsidR="00BD26B1" w:rsidRPr="00D41E6C" w:rsidRDefault="00BD26B1" w:rsidP="00BD26B1">
      <w:pPr>
        <w:pStyle w:val="ListParagraph"/>
        <w:numPr>
          <w:ilvl w:val="1"/>
          <w:numId w:val="23"/>
        </w:numPr>
        <w:ind w:leftChars="0"/>
        <w:rPr>
          <w:rFonts w:ascii="Times New Roman" w:hAnsi="Times New Roman"/>
          <w:bCs/>
          <w:iCs/>
          <w:szCs w:val="20"/>
        </w:rPr>
      </w:pPr>
      <w:r w:rsidRPr="00D41E6C">
        <w:rPr>
          <w:rFonts w:ascii="Times New Roman" w:hAnsi="Times New Roman"/>
          <w:bCs/>
          <w:iCs/>
          <w:szCs w:val="20"/>
        </w:rPr>
        <w:t xml:space="preserve">Deployment Case 3-1: Only 1-layer is considered </w:t>
      </w:r>
    </w:p>
    <w:p w14:paraId="19EDAF1D" w14:textId="77777777" w:rsidR="00BD26B1" w:rsidRPr="00D41E6C" w:rsidRDefault="00BD26B1" w:rsidP="00BD26B1">
      <w:pPr>
        <w:pStyle w:val="ListParagraph"/>
        <w:numPr>
          <w:ilvl w:val="1"/>
          <w:numId w:val="23"/>
        </w:numPr>
        <w:ind w:leftChars="0"/>
        <w:rPr>
          <w:rFonts w:ascii="Times New Roman" w:hAnsi="Times New Roman"/>
          <w:bCs/>
          <w:iCs/>
          <w:szCs w:val="20"/>
        </w:rPr>
      </w:pPr>
      <w:r w:rsidRPr="00D41E6C">
        <w:rPr>
          <w:rFonts w:ascii="Times New Roman" w:hAnsi="Times New Roman"/>
          <w:bCs/>
          <w:iCs/>
          <w:szCs w:val="20"/>
        </w:rPr>
        <w:t>Deployment Case 3-2: 2-layer is considered</w:t>
      </w:r>
    </w:p>
    <w:p w14:paraId="4E639B6A" w14:textId="77777777" w:rsidR="00BD26B1" w:rsidRPr="00D41E6C" w:rsidRDefault="00BD26B1" w:rsidP="00BD26B1">
      <w:pPr>
        <w:pStyle w:val="ListParagraph"/>
        <w:numPr>
          <w:ilvl w:val="0"/>
          <w:numId w:val="23"/>
        </w:numPr>
        <w:ind w:leftChars="0"/>
        <w:rPr>
          <w:rFonts w:ascii="Times New Roman" w:hAnsi="Times New Roman"/>
          <w:bCs/>
          <w:iCs/>
          <w:szCs w:val="20"/>
        </w:rPr>
      </w:pPr>
      <w:r w:rsidRPr="00D41E6C">
        <w:rPr>
          <w:rFonts w:ascii="Times New Roman" w:hAnsi="Times New Roman"/>
          <w:bCs/>
          <w:iCs/>
          <w:szCs w:val="20"/>
        </w:rPr>
        <w:lastRenderedPageBreak/>
        <w:t>Deployment Case 4 (Adjacent-channel co-existence case): Two operators each using one carrier are considered and the two carriers are adjacent carriers. One operator uses legacy TDD operation (static TDD operation) while the other operator uses SBFD operation with the same SBFD subband configuration.</w:t>
      </w:r>
    </w:p>
    <w:p w14:paraId="5E4E0DF8" w14:textId="77777777" w:rsidR="00BD26B1" w:rsidRPr="00D41E6C" w:rsidRDefault="00BD26B1" w:rsidP="00BD26B1">
      <w:pPr>
        <w:rPr>
          <w:bCs/>
          <w:iCs/>
          <w:sz w:val="20"/>
          <w:szCs w:val="20"/>
        </w:rPr>
      </w:pPr>
      <w:r w:rsidRPr="00D41E6C">
        <w:rPr>
          <w:bCs/>
          <w:iCs/>
          <w:sz w:val="20"/>
          <w:szCs w:val="20"/>
        </w:rPr>
        <w:t>Note: This definition has no intention to preclude any potential solutions for SBFD in AI9.3.2</w:t>
      </w:r>
    </w:p>
    <w:p w14:paraId="737AC27A" w14:textId="77777777" w:rsidR="00BD26B1" w:rsidRPr="00D41E6C" w:rsidRDefault="00BD26B1" w:rsidP="00BD26B1">
      <w:pPr>
        <w:rPr>
          <w:bCs/>
          <w:iCs/>
          <w:sz w:val="20"/>
          <w:szCs w:val="20"/>
          <w:highlight w:val="yellow"/>
        </w:rPr>
      </w:pPr>
      <w:r w:rsidRPr="00D41E6C">
        <w:rPr>
          <w:bCs/>
          <w:iCs/>
          <w:sz w:val="20"/>
          <w:szCs w:val="20"/>
        </w:rPr>
        <w:t>Note: SBFD subband configuration is from gNB perspective.</w:t>
      </w:r>
    </w:p>
    <w:p w14:paraId="4783A4ED" w14:textId="77777777" w:rsidR="00BD26B1" w:rsidRDefault="00BD26B1" w:rsidP="00BD26B1">
      <w:pPr>
        <w:jc w:val="both"/>
        <w:rPr>
          <w:sz w:val="20"/>
          <w:szCs w:val="20"/>
          <w:lang w:val="en-GB"/>
        </w:rPr>
      </w:pPr>
    </w:p>
    <w:p w14:paraId="205AF370" w14:textId="77777777" w:rsidR="00BD26B1" w:rsidRDefault="00BD26B1" w:rsidP="00BD26B1">
      <w:pPr>
        <w:jc w:val="both"/>
        <w:rPr>
          <w:sz w:val="20"/>
          <w:szCs w:val="20"/>
          <w:lang w:val="en-GB"/>
        </w:rPr>
      </w:pPr>
      <w:r>
        <w:rPr>
          <w:sz w:val="20"/>
          <w:szCs w:val="20"/>
          <w:lang w:val="en-GB"/>
        </w:rPr>
        <w:t>In RAN1#110, it was agreed that</w:t>
      </w:r>
    </w:p>
    <w:p w14:paraId="5C39D345" w14:textId="77777777" w:rsidR="00BD26B1" w:rsidRPr="007C580B" w:rsidRDefault="00BD26B1" w:rsidP="00BD26B1">
      <w:pPr>
        <w:rPr>
          <w:b/>
          <w:sz w:val="20"/>
          <w:szCs w:val="20"/>
          <w:highlight w:val="green"/>
          <w:lang w:eastAsia="ko-KR"/>
        </w:rPr>
      </w:pPr>
      <w:r w:rsidRPr="007C580B">
        <w:rPr>
          <w:b/>
          <w:sz w:val="20"/>
          <w:szCs w:val="20"/>
          <w:highlight w:val="green"/>
          <w:lang w:eastAsia="ko-KR"/>
        </w:rPr>
        <w:t>Agreement</w:t>
      </w:r>
    </w:p>
    <w:p w14:paraId="316AF820" w14:textId="77777777" w:rsidR="00BD26B1" w:rsidRDefault="00BD26B1" w:rsidP="00BD26B1">
      <w:pPr>
        <w:jc w:val="both"/>
        <w:rPr>
          <w:sz w:val="20"/>
          <w:szCs w:val="20"/>
          <w:lang w:val="en-GB"/>
        </w:rPr>
      </w:pPr>
      <w:r w:rsidRPr="007C580B">
        <w:rPr>
          <w:sz w:val="20"/>
          <w:szCs w:val="20"/>
          <w:lang w:val="en-GB"/>
        </w:rPr>
        <w:t>For SBFD evaluation from RAN1 perspective, the evaluation assumptions that are specific for Deployment Case 2 and Case 3-1 can be discussed with low priority.</w:t>
      </w:r>
    </w:p>
    <w:p w14:paraId="6FBDB957" w14:textId="77777777" w:rsidR="00BD26B1" w:rsidRPr="007C580B" w:rsidRDefault="00BD26B1" w:rsidP="00BD26B1">
      <w:pPr>
        <w:jc w:val="both"/>
        <w:rPr>
          <w:sz w:val="20"/>
          <w:szCs w:val="20"/>
          <w:lang w:val="en-GB"/>
        </w:rPr>
      </w:pPr>
    </w:p>
    <w:p w14:paraId="5C7C3704" w14:textId="77777777" w:rsidR="00BD26B1" w:rsidRDefault="00BD26B1" w:rsidP="00BD26B1">
      <w:pPr>
        <w:jc w:val="both"/>
        <w:rPr>
          <w:sz w:val="20"/>
          <w:szCs w:val="20"/>
          <w:lang w:val="en-GB"/>
        </w:rPr>
      </w:pPr>
      <w:r w:rsidRPr="007C679C">
        <w:rPr>
          <w:sz w:val="20"/>
          <w:szCs w:val="20"/>
          <w:lang w:val="en-GB"/>
        </w:rPr>
        <w:t xml:space="preserve">In RAN1#110b-e, it was agreed that </w:t>
      </w:r>
    </w:p>
    <w:p w14:paraId="24576A66" w14:textId="77777777" w:rsidR="00BD26B1" w:rsidRPr="007C679C" w:rsidRDefault="00BD26B1" w:rsidP="00BD26B1">
      <w:pPr>
        <w:rPr>
          <w:b/>
          <w:bCs/>
          <w:sz w:val="20"/>
          <w:szCs w:val="20"/>
          <w:highlight w:val="green"/>
          <w:lang w:eastAsia="ko-KR"/>
        </w:rPr>
      </w:pPr>
      <w:r w:rsidRPr="007C679C">
        <w:rPr>
          <w:b/>
          <w:bCs/>
          <w:sz w:val="20"/>
          <w:szCs w:val="20"/>
          <w:highlight w:val="green"/>
          <w:lang w:eastAsia="ko-KR"/>
        </w:rPr>
        <w:t>Agreement</w:t>
      </w:r>
    </w:p>
    <w:p w14:paraId="48998BA5" w14:textId="77777777" w:rsidR="00BD26B1" w:rsidRPr="007C679C" w:rsidRDefault="00BD26B1" w:rsidP="00BD26B1">
      <w:pPr>
        <w:rPr>
          <w:bCs/>
          <w:iCs/>
          <w:sz w:val="20"/>
          <w:szCs w:val="20"/>
        </w:rPr>
      </w:pPr>
      <w:r w:rsidRPr="007C679C">
        <w:rPr>
          <w:bCs/>
          <w:iCs/>
          <w:sz w:val="20"/>
          <w:szCs w:val="20"/>
        </w:rPr>
        <w:t>For evaluation of dynamic/flexible TDD</w:t>
      </w:r>
      <w:r w:rsidRPr="007C679C">
        <w:rPr>
          <w:sz w:val="20"/>
          <w:szCs w:val="20"/>
        </w:rPr>
        <w:t xml:space="preserve"> </w:t>
      </w:r>
      <w:r w:rsidRPr="007C679C">
        <w:rPr>
          <w:bCs/>
          <w:iCs/>
          <w:sz w:val="20"/>
          <w:szCs w:val="20"/>
        </w:rPr>
        <w:t>for the single operator case, consider the following scenarios:</w:t>
      </w:r>
    </w:p>
    <w:p w14:paraId="458F0272" w14:textId="77777777" w:rsidR="00BD26B1" w:rsidRPr="007C679C" w:rsidRDefault="00BD26B1" w:rsidP="00BD26B1">
      <w:pPr>
        <w:pStyle w:val="ListParagraph"/>
        <w:numPr>
          <w:ilvl w:val="0"/>
          <w:numId w:val="24"/>
        </w:numPr>
        <w:ind w:leftChars="0"/>
        <w:rPr>
          <w:bCs/>
          <w:iCs/>
          <w:szCs w:val="20"/>
        </w:rPr>
      </w:pPr>
      <w:r w:rsidRPr="007C679C">
        <w:rPr>
          <w:bCs/>
          <w:iCs/>
          <w:szCs w:val="20"/>
        </w:rPr>
        <w:t>FR1</w:t>
      </w:r>
    </w:p>
    <w:p w14:paraId="1A5DB086" w14:textId="77777777" w:rsidR="00BD26B1" w:rsidRPr="007C679C" w:rsidRDefault="00BD26B1" w:rsidP="00BD26B1">
      <w:pPr>
        <w:pStyle w:val="ListParagraph"/>
        <w:numPr>
          <w:ilvl w:val="1"/>
          <w:numId w:val="24"/>
        </w:numPr>
        <w:ind w:leftChars="0"/>
        <w:rPr>
          <w:bCs/>
          <w:iCs/>
          <w:szCs w:val="20"/>
        </w:rPr>
      </w:pPr>
      <w:r w:rsidRPr="007C679C">
        <w:rPr>
          <w:bCs/>
          <w:iCs/>
          <w:szCs w:val="20"/>
        </w:rPr>
        <w:t>1-layer scenario: Indoor office with dynamic TDD UL/DL assignment</w:t>
      </w:r>
    </w:p>
    <w:p w14:paraId="1749C7BE" w14:textId="77777777" w:rsidR="00BD26B1" w:rsidRPr="007C679C" w:rsidRDefault="00BD26B1" w:rsidP="00BD26B1">
      <w:pPr>
        <w:pStyle w:val="ListParagraph"/>
        <w:numPr>
          <w:ilvl w:val="1"/>
          <w:numId w:val="24"/>
        </w:numPr>
        <w:ind w:leftChars="0"/>
        <w:rPr>
          <w:bCs/>
          <w:iCs/>
          <w:szCs w:val="20"/>
        </w:rPr>
      </w:pPr>
      <w:r w:rsidRPr="007C679C">
        <w:rPr>
          <w:bCs/>
          <w:iCs/>
          <w:szCs w:val="20"/>
        </w:rPr>
        <w:t>(Optional) 1-layer scenario: Urban Macro with dynamic TDD UL/DL assignment</w:t>
      </w:r>
    </w:p>
    <w:p w14:paraId="04808D4F" w14:textId="77777777" w:rsidR="00BD26B1" w:rsidRPr="007C679C" w:rsidRDefault="00BD26B1" w:rsidP="00BD26B1">
      <w:pPr>
        <w:pStyle w:val="ListParagraph"/>
        <w:numPr>
          <w:ilvl w:val="1"/>
          <w:numId w:val="24"/>
        </w:numPr>
        <w:ind w:leftChars="0"/>
        <w:rPr>
          <w:bCs/>
          <w:iCs/>
          <w:szCs w:val="20"/>
        </w:rPr>
      </w:pPr>
      <w:r w:rsidRPr="007C679C">
        <w:rPr>
          <w:bCs/>
          <w:iCs/>
          <w:szCs w:val="20"/>
        </w:rPr>
        <w:t>2-layer Scenario B</w:t>
      </w:r>
    </w:p>
    <w:p w14:paraId="52B9B58A" w14:textId="77777777" w:rsidR="00BD26B1" w:rsidRPr="007C679C" w:rsidRDefault="00BD26B1" w:rsidP="00BD26B1">
      <w:pPr>
        <w:pStyle w:val="ListParagraph"/>
        <w:numPr>
          <w:ilvl w:val="2"/>
          <w:numId w:val="24"/>
        </w:numPr>
        <w:ind w:leftChars="0"/>
        <w:rPr>
          <w:bCs/>
          <w:iCs/>
          <w:szCs w:val="20"/>
        </w:rPr>
      </w:pPr>
      <w:r w:rsidRPr="007C679C">
        <w:rPr>
          <w:bCs/>
          <w:iCs/>
          <w:szCs w:val="20"/>
        </w:rPr>
        <w:t>Layer 1: Urban Macro</w:t>
      </w:r>
    </w:p>
    <w:p w14:paraId="39763E8F" w14:textId="77777777" w:rsidR="00BD26B1" w:rsidRPr="007C679C" w:rsidRDefault="00BD26B1" w:rsidP="00BD26B1">
      <w:pPr>
        <w:pStyle w:val="ListParagraph"/>
        <w:numPr>
          <w:ilvl w:val="2"/>
          <w:numId w:val="24"/>
        </w:numPr>
        <w:ind w:leftChars="0"/>
        <w:rPr>
          <w:bCs/>
          <w:iCs/>
          <w:szCs w:val="20"/>
        </w:rPr>
      </w:pPr>
      <w:r w:rsidRPr="007C679C">
        <w:rPr>
          <w:bCs/>
          <w:iCs/>
          <w:szCs w:val="20"/>
        </w:rPr>
        <w:t>Layer 2: Indoor office or Indoor factory (companies to report which one is used)</w:t>
      </w:r>
    </w:p>
    <w:p w14:paraId="084ABC1C" w14:textId="77777777" w:rsidR="00BD26B1" w:rsidRPr="007C679C" w:rsidRDefault="00BD26B1" w:rsidP="00BD26B1">
      <w:pPr>
        <w:pStyle w:val="ListParagraph"/>
        <w:numPr>
          <w:ilvl w:val="3"/>
          <w:numId w:val="24"/>
        </w:numPr>
        <w:ind w:leftChars="0"/>
        <w:rPr>
          <w:bCs/>
          <w:iCs/>
          <w:szCs w:val="20"/>
        </w:rPr>
      </w:pPr>
      <w:r w:rsidRPr="007C679C">
        <w:rPr>
          <w:bCs/>
          <w:iCs/>
          <w:szCs w:val="20"/>
        </w:rPr>
        <w:t>Indoor factory is optional (Companies are to report the used layout.)</w:t>
      </w:r>
    </w:p>
    <w:p w14:paraId="361F2E94" w14:textId="77777777" w:rsidR="00BD26B1" w:rsidRPr="007C679C" w:rsidRDefault="00BD26B1" w:rsidP="00BD26B1">
      <w:pPr>
        <w:pStyle w:val="ListParagraph"/>
        <w:numPr>
          <w:ilvl w:val="3"/>
          <w:numId w:val="24"/>
        </w:numPr>
        <w:ind w:leftChars="0"/>
        <w:rPr>
          <w:bCs/>
          <w:iCs/>
          <w:szCs w:val="20"/>
        </w:rPr>
      </w:pPr>
      <w:r w:rsidRPr="007C679C">
        <w:rPr>
          <w:bCs/>
          <w:iCs/>
          <w:szCs w:val="20"/>
        </w:rPr>
        <w:t>Regarding the Indoor office layer, reuse the Indoor office (InH) scenario (i.e., open office in Table 7.2-2 in TR38.901) and relevant channel model in TR38.901.</w:t>
      </w:r>
    </w:p>
    <w:p w14:paraId="654AA447" w14:textId="77777777" w:rsidR="00BD26B1" w:rsidRPr="007C679C" w:rsidRDefault="00BD26B1" w:rsidP="00BD26B1">
      <w:pPr>
        <w:pStyle w:val="ListParagraph"/>
        <w:numPr>
          <w:ilvl w:val="3"/>
          <w:numId w:val="24"/>
        </w:numPr>
        <w:ind w:leftChars="0"/>
        <w:rPr>
          <w:bCs/>
          <w:iCs/>
          <w:szCs w:val="20"/>
        </w:rPr>
      </w:pPr>
      <w:r w:rsidRPr="007C679C">
        <w:rPr>
          <w:bCs/>
          <w:iCs/>
          <w:szCs w:val="20"/>
        </w:rPr>
        <w:t xml:space="preserve">Regarding the Indoor factory layer, reuse the Indoor factory (InF) scenario (i.e., </w:t>
      </w:r>
      <w:r w:rsidRPr="007C679C">
        <w:rPr>
          <w:szCs w:val="20"/>
        </w:rPr>
        <w:t xml:space="preserve">Table </w:t>
      </w:r>
      <w:r w:rsidRPr="007C679C">
        <w:rPr>
          <w:rFonts w:hint="eastAsia"/>
          <w:szCs w:val="20"/>
          <w:lang w:eastAsia="ko-KR"/>
        </w:rPr>
        <w:t>7.2</w:t>
      </w:r>
      <w:r w:rsidRPr="007C679C">
        <w:rPr>
          <w:szCs w:val="20"/>
        </w:rPr>
        <w:t>-4</w:t>
      </w:r>
      <w:r w:rsidRPr="007C679C">
        <w:rPr>
          <w:bCs/>
          <w:iCs/>
          <w:szCs w:val="20"/>
        </w:rPr>
        <w:t xml:space="preserve"> in TR38.901) and relevant channel model in TR38.901.</w:t>
      </w:r>
    </w:p>
    <w:p w14:paraId="7B8D20B0" w14:textId="77777777" w:rsidR="00BD26B1" w:rsidRPr="007C679C" w:rsidRDefault="00BD26B1" w:rsidP="00BD26B1">
      <w:pPr>
        <w:pStyle w:val="ListParagraph"/>
        <w:numPr>
          <w:ilvl w:val="3"/>
          <w:numId w:val="24"/>
        </w:numPr>
        <w:ind w:leftChars="0"/>
        <w:rPr>
          <w:bCs/>
          <w:iCs/>
          <w:szCs w:val="20"/>
        </w:rPr>
      </w:pPr>
      <w:r w:rsidRPr="007C679C">
        <w:rPr>
          <w:bCs/>
          <w:iCs/>
          <w:szCs w:val="20"/>
        </w:rPr>
        <w:t>FFS: consider only one indoor office/factory dropped in the whole network</w:t>
      </w:r>
    </w:p>
    <w:p w14:paraId="702C0B87" w14:textId="77777777" w:rsidR="00BD26B1" w:rsidRPr="007C679C" w:rsidRDefault="00BD26B1" w:rsidP="00BD26B1">
      <w:pPr>
        <w:pStyle w:val="ListParagraph"/>
        <w:numPr>
          <w:ilvl w:val="1"/>
          <w:numId w:val="24"/>
        </w:numPr>
        <w:ind w:leftChars="0"/>
        <w:rPr>
          <w:bCs/>
          <w:iCs/>
          <w:szCs w:val="20"/>
        </w:rPr>
      </w:pPr>
      <w:r w:rsidRPr="007C679C">
        <w:rPr>
          <w:bCs/>
          <w:iCs/>
          <w:szCs w:val="20"/>
        </w:rPr>
        <w:t>Regarding 2-layer scenario, the two layers are deployed in the same carrier</w:t>
      </w:r>
    </w:p>
    <w:p w14:paraId="64C3232A" w14:textId="77777777" w:rsidR="00BD26B1" w:rsidRPr="007C679C" w:rsidRDefault="00BD26B1" w:rsidP="00BD26B1">
      <w:pPr>
        <w:pStyle w:val="ListParagraph"/>
        <w:numPr>
          <w:ilvl w:val="2"/>
          <w:numId w:val="24"/>
        </w:numPr>
        <w:ind w:leftChars="0"/>
        <w:rPr>
          <w:bCs/>
          <w:iCs/>
          <w:szCs w:val="20"/>
        </w:rPr>
      </w:pPr>
      <w:r w:rsidRPr="007C679C">
        <w:rPr>
          <w:bCs/>
          <w:iCs/>
          <w:szCs w:val="20"/>
        </w:rPr>
        <w:t>Layer 1 uses legacy static TDD operation with DL dominant static TDD UL/DL configuration</w:t>
      </w:r>
    </w:p>
    <w:p w14:paraId="2D28FC78" w14:textId="77777777" w:rsidR="00BD26B1" w:rsidRPr="007C679C" w:rsidRDefault="00BD26B1" w:rsidP="00BD26B1">
      <w:pPr>
        <w:pStyle w:val="ListParagraph"/>
        <w:numPr>
          <w:ilvl w:val="2"/>
          <w:numId w:val="24"/>
        </w:numPr>
        <w:ind w:leftChars="0"/>
        <w:rPr>
          <w:bCs/>
          <w:iCs/>
          <w:szCs w:val="20"/>
        </w:rPr>
      </w:pPr>
      <w:r w:rsidRPr="007C679C">
        <w:rPr>
          <w:bCs/>
          <w:iCs/>
          <w:szCs w:val="20"/>
        </w:rPr>
        <w:t>Layer 2 uses one of the following options (companies to report which option is used)</w:t>
      </w:r>
    </w:p>
    <w:p w14:paraId="186A44E3" w14:textId="77777777" w:rsidR="00BD26B1" w:rsidRPr="007C679C" w:rsidRDefault="00BD26B1" w:rsidP="00BD26B1">
      <w:pPr>
        <w:pStyle w:val="ListParagraph"/>
        <w:numPr>
          <w:ilvl w:val="3"/>
          <w:numId w:val="24"/>
        </w:numPr>
        <w:ind w:leftChars="0"/>
        <w:rPr>
          <w:bCs/>
          <w:iCs/>
          <w:szCs w:val="20"/>
        </w:rPr>
      </w:pPr>
      <w:r w:rsidRPr="007C679C">
        <w:rPr>
          <w:bCs/>
          <w:iCs/>
          <w:szCs w:val="20"/>
        </w:rPr>
        <w:t>Option 1: All gNBs in layer 2 use legacy static TDD operation with the same UL dominant static TDD UL/DL configuration</w:t>
      </w:r>
    </w:p>
    <w:p w14:paraId="3FE18245" w14:textId="77777777" w:rsidR="00BD26B1" w:rsidRPr="007C679C" w:rsidRDefault="00BD26B1" w:rsidP="00BD26B1">
      <w:pPr>
        <w:pStyle w:val="ListParagraph"/>
        <w:numPr>
          <w:ilvl w:val="3"/>
          <w:numId w:val="24"/>
        </w:numPr>
        <w:ind w:leftChars="0"/>
        <w:rPr>
          <w:bCs/>
          <w:iCs/>
          <w:szCs w:val="20"/>
        </w:rPr>
      </w:pPr>
      <w:r w:rsidRPr="007C679C">
        <w:rPr>
          <w:bCs/>
          <w:iCs/>
          <w:szCs w:val="20"/>
        </w:rPr>
        <w:t>Option 2: All gNBs in layer 2 use dynamic TDD UL/DL assignment</w:t>
      </w:r>
    </w:p>
    <w:p w14:paraId="494F67AF" w14:textId="77777777" w:rsidR="00BD26B1" w:rsidRPr="007C679C" w:rsidRDefault="00BD26B1" w:rsidP="00BD26B1">
      <w:pPr>
        <w:pStyle w:val="ListParagraph"/>
        <w:numPr>
          <w:ilvl w:val="3"/>
          <w:numId w:val="24"/>
        </w:numPr>
        <w:ind w:leftChars="0"/>
        <w:rPr>
          <w:bCs/>
          <w:iCs/>
          <w:szCs w:val="20"/>
        </w:rPr>
      </w:pPr>
      <w:r w:rsidRPr="007C679C">
        <w:rPr>
          <w:bCs/>
          <w:iCs/>
          <w:szCs w:val="20"/>
        </w:rPr>
        <w:t>Other options are not precluded and can be reported by companies</w:t>
      </w:r>
    </w:p>
    <w:p w14:paraId="06497D85" w14:textId="77777777" w:rsidR="00BD26B1" w:rsidRPr="007C679C" w:rsidRDefault="00BD26B1" w:rsidP="00BD26B1">
      <w:pPr>
        <w:pStyle w:val="ListParagraph"/>
        <w:numPr>
          <w:ilvl w:val="0"/>
          <w:numId w:val="24"/>
        </w:numPr>
        <w:ind w:leftChars="0"/>
        <w:rPr>
          <w:bCs/>
          <w:iCs/>
          <w:szCs w:val="20"/>
        </w:rPr>
      </w:pPr>
      <w:r w:rsidRPr="007C679C">
        <w:rPr>
          <w:bCs/>
          <w:iCs/>
          <w:szCs w:val="20"/>
        </w:rPr>
        <w:t>FR2-1</w:t>
      </w:r>
    </w:p>
    <w:p w14:paraId="4C60FBBB" w14:textId="77777777" w:rsidR="00BD26B1" w:rsidRPr="007C679C" w:rsidRDefault="00BD26B1" w:rsidP="00BD26B1">
      <w:pPr>
        <w:pStyle w:val="ListParagraph"/>
        <w:numPr>
          <w:ilvl w:val="1"/>
          <w:numId w:val="24"/>
        </w:numPr>
        <w:ind w:leftChars="0"/>
        <w:rPr>
          <w:bCs/>
          <w:iCs/>
          <w:szCs w:val="20"/>
        </w:rPr>
      </w:pPr>
      <w:r w:rsidRPr="007C679C">
        <w:rPr>
          <w:bCs/>
          <w:iCs/>
          <w:szCs w:val="20"/>
        </w:rPr>
        <w:t>1-layer scenario: Indoor office with dynamic TDD UL/DL assignment</w:t>
      </w:r>
    </w:p>
    <w:p w14:paraId="3FA6196A" w14:textId="77777777" w:rsidR="00BD26B1" w:rsidRPr="007C679C" w:rsidRDefault="00BD26B1" w:rsidP="00BD26B1">
      <w:pPr>
        <w:pStyle w:val="ListParagraph"/>
        <w:numPr>
          <w:ilvl w:val="1"/>
          <w:numId w:val="24"/>
        </w:numPr>
        <w:ind w:leftChars="0"/>
        <w:rPr>
          <w:szCs w:val="20"/>
        </w:rPr>
      </w:pPr>
      <w:r w:rsidRPr="007C679C">
        <w:rPr>
          <w:bCs/>
          <w:iCs/>
          <w:szCs w:val="20"/>
        </w:rPr>
        <w:t>(Optional) 1-layer scenario: Dense Urban Macro layer with dynamic TDD UL/DL assignment</w:t>
      </w:r>
    </w:p>
    <w:p w14:paraId="6229C13C" w14:textId="77777777" w:rsidR="00BD26B1" w:rsidRPr="007C679C" w:rsidRDefault="00BD26B1" w:rsidP="00BD26B1">
      <w:pPr>
        <w:pStyle w:val="ListParagraph"/>
        <w:numPr>
          <w:ilvl w:val="0"/>
          <w:numId w:val="24"/>
        </w:numPr>
        <w:ind w:leftChars="0"/>
        <w:rPr>
          <w:bCs/>
          <w:iCs/>
          <w:szCs w:val="20"/>
        </w:rPr>
      </w:pPr>
      <w:r w:rsidRPr="007C679C">
        <w:rPr>
          <w:bCs/>
          <w:iCs/>
          <w:szCs w:val="20"/>
        </w:rPr>
        <w:t>For above scenarios, the following is assumed:</w:t>
      </w:r>
    </w:p>
    <w:p w14:paraId="76E710CE" w14:textId="77777777" w:rsidR="00BD26B1" w:rsidRPr="007C679C" w:rsidRDefault="00BD26B1" w:rsidP="00BD26B1">
      <w:pPr>
        <w:pStyle w:val="ListParagraph"/>
        <w:numPr>
          <w:ilvl w:val="1"/>
          <w:numId w:val="24"/>
        </w:numPr>
        <w:ind w:leftChars="0"/>
        <w:rPr>
          <w:bCs/>
          <w:iCs/>
          <w:szCs w:val="20"/>
        </w:rPr>
      </w:pPr>
      <w:r w:rsidRPr="007C679C">
        <w:rPr>
          <w:bCs/>
          <w:iCs/>
          <w:szCs w:val="20"/>
        </w:rPr>
        <w:t xml:space="preserve">DL dominant static TDD UL/DL configuration: </w:t>
      </w:r>
      <w:r w:rsidRPr="007C679C">
        <w:rPr>
          <w:szCs w:val="20"/>
        </w:rPr>
        <w:t>{DDDSU}, where S=[12D:2G:0U]</w:t>
      </w:r>
    </w:p>
    <w:p w14:paraId="197CB243" w14:textId="77777777" w:rsidR="00BD26B1" w:rsidRPr="007C679C" w:rsidRDefault="00BD26B1" w:rsidP="00BD26B1">
      <w:pPr>
        <w:pStyle w:val="ListParagraph"/>
        <w:numPr>
          <w:ilvl w:val="1"/>
          <w:numId w:val="24"/>
        </w:numPr>
        <w:ind w:leftChars="0"/>
        <w:rPr>
          <w:bCs/>
          <w:iCs/>
          <w:szCs w:val="20"/>
        </w:rPr>
      </w:pPr>
      <w:r w:rsidRPr="007C679C">
        <w:rPr>
          <w:bCs/>
          <w:iCs/>
          <w:szCs w:val="20"/>
        </w:rPr>
        <w:t xml:space="preserve">UL dominant static TDD UL/DL configuration: </w:t>
      </w:r>
      <w:r w:rsidRPr="007C679C">
        <w:rPr>
          <w:szCs w:val="20"/>
        </w:rPr>
        <w:t>{DSUUU}, where S=[12D:2G:0U]</w:t>
      </w:r>
    </w:p>
    <w:p w14:paraId="5FCF7EE4" w14:textId="77777777" w:rsidR="00BD26B1" w:rsidRPr="007C679C" w:rsidRDefault="00BD26B1" w:rsidP="00BD26B1">
      <w:pPr>
        <w:pStyle w:val="ListParagraph"/>
        <w:numPr>
          <w:ilvl w:val="1"/>
          <w:numId w:val="24"/>
        </w:numPr>
        <w:ind w:leftChars="0"/>
        <w:rPr>
          <w:bCs/>
          <w:iCs/>
          <w:szCs w:val="20"/>
        </w:rPr>
      </w:pPr>
      <w:r w:rsidRPr="007C679C">
        <w:rPr>
          <w:bCs/>
          <w:iCs/>
          <w:szCs w:val="20"/>
        </w:rPr>
        <w:t>dynamic TDD UL/DL assignment: {FFFFF}, companies to report the guard symbols assumed in their simulation</w:t>
      </w:r>
    </w:p>
    <w:p w14:paraId="3643E6C4" w14:textId="77777777" w:rsidR="00BD26B1" w:rsidRPr="007C679C" w:rsidRDefault="00BD26B1" w:rsidP="00BD26B1">
      <w:pPr>
        <w:pStyle w:val="ListParagraph"/>
        <w:numPr>
          <w:ilvl w:val="2"/>
          <w:numId w:val="24"/>
        </w:numPr>
        <w:ind w:leftChars="0"/>
        <w:rPr>
          <w:bCs/>
          <w:iCs/>
          <w:szCs w:val="20"/>
        </w:rPr>
      </w:pPr>
      <w:r w:rsidRPr="007C679C">
        <w:rPr>
          <w:rFonts w:hint="eastAsia"/>
          <w:bCs/>
          <w:iCs/>
          <w:szCs w:val="20"/>
        </w:rPr>
        <w:t>o</w:t>
      </w:r>
      <w:r w:rsidRPr="007C679C">
        <w:rPr>
          <w:bCs/>
          <w:iCs/>
          <w:szCs w:val="20"/>
        </w:rPr>
        <w:t>ther configurations for dynamic TDD are not precluded and can be reported by companies</w:t>
      </w:r>
    </w:p>
    <w:p w14:paraId="65F8C34B" w14:textId="77777777" w:rsidR="00BD26B1" w:rsidRPr="007C679C" w:rsidRDefault="00BD26B1" w:rsidP="00BD26B1">
      <w:pPr>
        <w:jc w:val="both"/>
        <w:rPr>
          <w:sz w:val="20"/>
          <w:szCs w:val="20"/>
          <w:lang w:val="en-GB"/>
        </w:rPr>
      </w:pPr>
      <w:r w:rsidRPr="007C679C">
        <w:rPr>
          <w:bCs/>
          <w:iCs/>
          <w:sz w:val="20"/>
          <w:szCs w:val="20"/>
        </w:rPr>
        <w:t>Companies can submit results for other scenarios</w:t>
      </w:r>
    </w:p>
    <w:p w14:paraId="3F9044FA" w14:textId="77777777" w:rsidR="00BD26B1" w:rsidRDefault="00BD26B1" w:rsidP="00BD26B1">
      <w:pPr>
        <w:jc w:val="both"/>
        <w:rPr>
          <w:sz w:val="20"/>
          <w:szCs w:val="20"/>
          <w:lang w:val="en-GB"/>
        </w:rPr>
      </w:pPr>
    </w:p>
    <w:p w14:paraId="1CB30CAE" w14:textId="77777777" w:rsidR="00BD26B1" w:rsidRDefault="00BD26B1" w:rsidP="00BD26B1">
      <w:pPr>
        <w:jc w:val="both"/>
        <w:rPr>
          <w:sz w:val="20"/>
          <w:szCs w:val="20"/>
          <w:lang w:val="en-GB"/>
        </w:rPr>
      </w:pPr>
      <w:r>
        <w:rPr>
          <w:sz w:val="20"/>
          <w:szCs w:val="20"/>
          <w:lang w:val="en-GB"/>
        </w:rPr>
        <w:t xml:space="preserve">Given that many aspects regarding full-duplex operation at gNB shall be evaluated, it is more beneficial to narrow down discussions based on a deployment case which majority of companies agree on it. In our view, deployment case 1, under FR-1 with 1-layer scenario, i.e., indoor office, should be prioritized. </w:t>
      </w:r>
      <w:r>
        <w:rPr>
          <w:iCs/>
          <w:sz w:val="20"/>
          <w:szCs w:val="20"/>
        </w:rPr>
        <w:t xml:space="preserve">Solutions </w:t>
      </w:r>
      <w:r>
        <w:rPr>
          <w:sz w:val="20"/>
          <w:szCs w:val="20"/>
          <w:lang w:val="en-GB"/>
        </w:rPr>
        <w:t>to enhance UL performance, the feasibility of duplex operation in a TDD band, the CLI impact to victim UE/gNB, and the achievable UL enhancement gain versus DL performance loss, shall focus on a scenario under Deployment Case 1 for which current specification fails.</w:t>
      </w:r>
    </w:p>
    <w:p w14:paraId="1BFA2B3B" w14:textId="77777777" w:rsidR="00BD26B1" w:rsidRDefault="00BD26B1" w:rsidP="00BD26B1">
      <w:pPr>
        <w:tabs>
          <w:tab w:val="left" w:pos="640"/>
        </w:tabs>
        <w:jc w:val="both"/>
        <w:rPr>
          <w:sz w:val="20"/>
          <w:szCs w:val="20"/>
          <w:lang w:val="en-GB"/>
        </w:rPr>
      </w:pPr>
    </w:p>
    <w:p w14:paraId="67593CDD" w14:textId="7A742615" w:rsidR="00BD26B1" w:rsidRPr="0073434C" w:rsidRDefault="00BD26B1" w:rsidP="00BD26B1">
      <w:pPr>
        <w:tabs>
          <w:tab w:val="left" w:pos="640"/>
        </w:tabs>
        <w:jc w:val="both"/>
        <w:rPr>
          <w:rFonts w:cs="Batang"/>
          <w:b/>
          <w:bCs/>
          <w:sz w:val="20"/>
          <w:szCs w:val="20"/>
        </w:rPr>
      </w:pPr>
      <w:r w:rsidRPr="0073434C">
        <w:rPr>
          <w:rFonts w:cs="Batang"/>
          <w:b/>
          <w:bCs/>
          <w:sz w:val="20"/>
          <w:szCs w:val="20"/>
        </w:rPr>
        <w:t xml:space="preserve">Proposal </w:t>
      </w:r>
      <w:r w:rsidR="00CA24CB">
        <w:rPr>
          <w:rFonts w:cs="Batang"/>
          <w:b/>
          <w:bCs/>
          <w:sz w:val="20"/>
          <w:szCs w:val="20"/>
        </w:rPr>
        <w:t>4</w:t>
      </w:r>
      <w:r w:rsidRPr="0073434C">
        <w:rPr>
          <w:rFonts w:cs="Batang"/>
          <w:sz w:val="20"/>
          <w:szCs w:val="20"/>
        </w:rPr>
        <w:t>: Prioritize scenarios for Deployment Case 1, for which assuming the current signaling available at the scheduler to avoid CLI, UE-to-UE CLI is still the most severe case.</w:t>
      </w:r>
      <w:r w:rsidRPr="0073434C">
        <w:rPr>
          <w:rFonts w:cs="Batang"/>
          <w:b/>
          <w:bCs/>
          <w:sz w:val="20"/>
          <w:szCs w:val="20"/>
        </w:rPr>
        <w:t xml:space="preserve"> </w:t>
      </w:r>
    </w:p>
    <w:p w14:paraId="6580E098" w14:textId="77777777" w:rsidR="00BD26B1" w:rsidRDefault="00BD26B1" w:rsidP="00BD26B1">
      <w:pPr>
        <w:jc w:val="both"/>
        <w:rPr>
          <w:sz w:val="20"/>
          <w:szCs w:val="20"/>
          <w:lang w:val="en-GB"/>
        </w:rPr>
      </w:pPr>
    </w:p>
    <w:p w14:paraId="1C352028" w14:textId="77777777" w:rsidR="00BD26B1" w:rsidRDefault="00BD26B1" w:rsidP="00BD26B1">
      <w:pPr>
        <w:jc w:val="both"/>
        <w:rPr>
          <w:sz w:val="20"/>
          <w:szCs w:val="20"/>
        </w:rPr>
      </w:pPr>
      <w:r>
        <w:rPr>
          <w:sz w:val="20"/>
          <w:szCs w:val="20"/>
          <w:lang w:val="en-GB"/>
        </w:rPr>
        <w:t xml:space="preserve">Dynamic TDD was considered earlier in NR, where </w:t>
      </w:r>
      <w:r w:rsidRPr="006D4F66">
        <w:rPr>
          <w:sz w:val="20"/>
          <w:szCs w:val="20"/>
          <w:lang w:val="en-GB"/>
        </w:rPr>
        <w:t xml:space="preserve">handling </w:t>
      </w:r>
      <w:r>
        <w:rPr>
          <w:sz w:val="20"/>
          <w:szCs w:val="20"/>
          <w:lang w:val="en-GB"/>
        </w:rPr>
        <w:t xml:space="preserve">CLI </w:t>
      </w:r>
      <w:r w:rsidRPr="006D4F66">
        <w:rPr>
          <w:sz w:val="20"/>
          <w:szCs w:val="20"/>
          <w:lang w:val="en-GB"/>
        </w:rPr>
        <w:t>and RIM were introduced in Rel-16.</w:t>
      </w:r>
      <w:r>
        <w:rPr>
          <w:sz w:val="20"/>
          <w:szCs w:val="20"/>
          <w:lang w:val="en-GB"/>
        </w:rPr>
        <w:t xml:space="preserve"> </w:t>
      </w:r>
      <w:r w:rsidRPr="00907ABC">
        <w:rPr>
          <w:sz w:val="20"/>
          <w:szCs w:val="20"/>
        </w:rPr>
        <w:t>As part of the CLI WI</w:t>
      </w:r>
      <w:r>
        <w:rPr>
          <w:sz w:val="20"/>
          <w:szCs w:val="20"/>
        </w:rPr>
        <w:t xml:space="preserve"> in Rel-16, and for</w:t>
      </w:r>
      <w:r w:rsidRPr="00907ABC">
        <w:rPr>
          <w:sz w:val="20"/>
          <w:szCs w:val="20"/>
        </w:rPr>
        <w:t xml:space="preserve"> the adjacent channel co-existence, RAN4 investigate</w:t>
      </w:r>
      <w:r>
        <w:rPr>
          <w:sz w:val="20"/>
          <w:szCs w:val="20"/>
        </w:rPr>
        <w:t xml:space="preserve">d the performance degradation on the victim UE/gNB due to UE-toUE CLI and gNB-to-gNB CLI as a result of dynamic TDD operation at the </w:t>
      </w:r>
      <w:r>
        <w:rPr>
          <w:sz w:val="20"/>
          <w:szCs w:val="20"/>
        </w:rPr>
        <w:lastRenderedPageBreak/>
        <w:t>aggressor node [3]</w:t>
      </w:r>
      <w:r w:rsidRPr="00907ABC">
        <w:rPr>
          <w:sz w:val="20"/>
          <w:szCs w:val="20"/>
        </w:rPr>
        <w:t>.</w:t>
      </w:r>
      <w:r>
        <w:rPr>
          <w:sz w:val="20"/>
          <w:szCs w:val="20"/>
        </w:rPr>
        <w:t xml:space="preserve"> The evaluations reported in [3] are made for different scenarios: Urban Macro (both FR1 and FR2), Indoor (both FR1 and FR2), and Dense Urban (FR2 only), based on the simulation assumption given by TR 38.828, Sec. 5.2. It is observed that for adjacent channel co-existence, when higher BS power is assumed and/or the distance between aggressor UE and serving gNB is large (so aggressive UE has to transmit with high power), we may have performance degradation, respectively due to BS-to-BS CLI and UE-to-UE CLI [2].</w:t>
      </w:r>
    </w:p>
    <w:p w14:paraId="3D1F5874" w14:textId="77777777" w:rsidR="00BD26B1" w:rsidRDefault="00BD26B1" w:rsidP="00BD26B1">
      <w:pPr>
        <w:jc w:val="both"/>
        <w:rPr>
          <w:sz w:val="20"/>
          <w:szCs w:val="20"/>
          <w:lang w:val="en-GB"/>
        </w:rPr>
      </w:pPr>
    </w:p>
    <w:p w14:paraId="76911D46" w14:textId="77777777" w:rsidR="00BD26B1" w:rsidRDefault="00BD26B1" w:rsidP="00BD26B1">
      <w:pPr>
        <w:jc w:val="both"/>
        <w:rPr>
          <w:sz w:val="20"/>
          <w:szCs w:val="20"/>
          <w:lang w:val="en-GB"/>
        </w:rPr>
      </w:pPr>
      <w:r>
        <w:rPr>
          <w:sz w:val="20"/>
          <w:szCs w:val="20"/>
          <w:lang w:val="en-GB"/>
        </w:rPr>
        <w:t>Given that the CLI issue is more severe for the co-channel scenario, and the inter/intra-subband CLI is a common problem for both dynamic TDD and full-duplex operation at gNB, we have the following proposal:</w:t>
      </w:r>
    </w:p>
    <w:p w14:paraId="381CFD0B" w14:textId="77777777" w:rsidR="00BD26B1" w:rsidRPr="006D4F66" w:rsidRDefault="00BD26B1" w:rsidP="00BD26B1">
      <w:pPr>
        <w:jc w:val="both"/>
        <w:rPr>
          <w:sz w:val="20"/>
          <w:szCs w:val="20"/>
        </w:rPr>
      </w:pPr>
      <w:r>
        <w:rPr>
          <w:sz w:val="20"/>
          <w:szCs w:val="20"/>
          <w:lang w:val="en-GB"/>
        </w:rPr>
        <w:t xml:space="preserve"> </w:t>
      </w:r>
      <w:r w:rsidRPr="006D4F66">
        <w:rPr>
          <w:sz w:val="20"/>
          <w:szCs w:val="20"/>
          <w:lang w:val="en-GB"/>
        </w:rPr>
        <w:t xml:space="preserve"> </w:t>
      </w:r>
    </w:p>
    <w:p w14:paraId="4B245727" w14:textId="154F1E20" w:rsidR="00BD26B1" w:rsidRPr="0073434C" w:rsidRDefault="00BD26B1" w:rsidP="00BD26B1">
      <w:pPr>
        <w:pStyle w:val="0Maintext"/>
        <w:spacing w:after="120" w:afterAutospacing="0" w:line="240" w:lineRule="auto"/>
        <w:ind w:firstLine="0"/>
        <w:rPr>
          <w:lang w:val="en-US" w:eastAsia="zh-CN"/>
        </w:rPr>
      </w:pPr>
      <w:r w:rsidRPr="0073434C">
        <w:rPr>
          <w:b/>
          <w:bCs/>
          <w:lang w:val="en-US" w:eastAsia="zh-CN"/>
        </w:rPr>
        <w:t xml:space="preserve">Proposal </w:t>
      </w:r>
      <w:r w:rsidR="00CA24CB">
        <w:rPr>
          <w:b/>
          <w:bCs/>
          <w:lang w:val="en-US" w:eastAsia="zh-CN"/>
        </w:rPr>
        <w:t>5</w:t>
      </w:r>
      <w:r w:rsidRPr="0073434C">
        <w:rPr>
          <w:lang w:val="en-US" w:eastAsia="zh-CN"/>
        </w:rPr>
        <w:t>: Full-duplex operation shall not be supported for macro-to-macro scenarios, at least for FR1.</w:t>
      </w:r>
    </w:p>
    <w:p w14:paraId="36300299" w14:textId="2BF04963" w:rsidR="007E4A87" w:rsidRPr="007E4A87" w:rsidRDefault="007E4A87" w:rsidP="00041650">
      <w:pPr>
        <w:jc w:val="both"/>
        <w:rPr>
          <w:sz w:val="20"/>
          <w:szCs w:val="20"/>
          <w:lang w:val="en-GB"/>
        </w:rPr>
      </w:pPr>
    </w:p>
    <w:p w14:paraId="07836508" w14:textId="57A55DC1" w:rsidR="00A67EE8" w:rsidRDefault="001B5175" w:rsidP="00A67EE8">
      <w:pPr>
        <w:pStyle w:val="Heading1"/>
      </w:pPr>
      <w:r>
        <w:t xml:space="preserve">Initial results for co-channel CLI </w:t>
      </w:r>
    </w:p>
    <w:p w14:paraId="7E0A9970" w14:textId="0FC8FC05" w:rsidR="00133695" w:rsidRPr="00133695" w:rsidRDefault="0082334B" w:rsidP="00133695">
      <w:pPr>
        <w:pStyle w:val="Heading2"/>
      </w:pPr>
      <w:r>
        <w:rPr>
          <w:lang w:val="en-GB"/>
        </w:rPr>
        <w:t>S</w:t>
      </w:r>
      <w:r w:rsidRPr="00721836">
        <w:rPr>
          <w:lang w:val="en-GB"/>
        </w:rPr>
        <w:t xml:space="preserve">ame UL/DL resource ratio between </w:t>
      </w:r>
      <w:r w:rsidRPr="00721836">
        <w:rPr>
          <w:rFonts w:hint="eastAsia"/>
          <w:lang w:val="en-GB"/>
        </w:rPr>
        <w:t>L</w:t>
      </w:r>
      <w:r w:rsidRPr="00721836">
        <w:rPr>
          <w:lang w:val="en-GB"/>
        </w:rPr>
        <w:t>egacy TDD and SBFD</w:t>
      </w:r>
    </w:p>
    <w:p w14:paraId="6FD498C5" w14:textId="51B42EA3" w:rsidR="0083279F" w:rsidRDefault="001B5175" w:rsidP="0083279F">
      <w:pPr>
        <w:pStyle w:val="0Maintext"/>
        <w:spacing w:after="120" w:afterAutospacing="0" w:line="240" w:lineRule="auto"/>
        <w:ind w:firstLine="0"/>
        <w:rPr>
          <w:lang w:val="en-US" w:eastAsia="zh-CN"/>
        </w:rPr>
      </w:pPr>
      <w:r>
        <w:rPr>
          <w:lang w:val="en-US" w:eastAsia="zh-CN"/>
        </w:rPr>
        <w:t xml:space="preserve">In this section, we run </w:t>
      </w:r>
      <w:r w:rsidR="00AA286C">
        <w:rPr>
          <w:lang w:val="en-US" w:eastAsia="zh-CN"/>
        </w:rPr>
        <w:t>some</w:t>
      </w:r>
      <w:r w:rsidR="00277B82">
        <w:rPr>
          <w:lang w:val="en-US" w:eastAsia="zh-CN"/>
        </w:rPr>
        <w:t xml:space="preserve"> </w:t>
      </w:r>
      <w:r w:rsidR="00AA286C">
        <w:rPr>
          <w:lang w:val="en-US" w:eastAsia="zh-CN"/>
        </w:rPr>
        <w:t xml:space="preserve">system </w:t>
      </w:r>
      <w:r w:rsidR="00277B82">
        <w:rPr>
          <w:lang w:val="en-US" w:eastAsia="zh-CN"/>
        </w:rPr>
        <w:t>evaluation</w:t>
      </w:r>
      <w:r w:rsidR="00AA286C">
        <w:rPr>
          <w:lang w:val="en-US" w:eastAsia="zh-CN"/>
        </w:rPr>
        <w:t>s</w:t>
      </w:r>
      <w:r w:rsidR="00277B82">
        <w:rPr>
          <w:lang w:val="en-US" w:eastAsia="zh-CN"/>
        </w:rPr>
        <w:t xml:space="preserve"> based on system level simulation assumptions provided in [</w:t>
      </w:r>
      <w:r w:rsidR="00D756B9">
        <w:rPr>
          <w:lang w:val="en-US" w:eastAsia="zh-CN"/>
        </w:rPr>
        <w:t>4</w:t>
      </w:r>
      <w:r w:rsidR="00277B82">
        <w:rPr>
          <w:lang w:val="en-US" w:eastAsia="zh-CN"/>
        </w:rPr>
        <w:t>].</w:t>
      </w:r>
      <w:r w:rsidR="006B13B0">
        <w:rPr>
          <w:lang w:val="en-US" w:eastAsia="zh-CN"/>
        </w:rPr>
        <w:t xml:space="preserve"> More precisely, </w:t>
      </w:r>
      <w:r w:rsidR="00BB799A">
        <w:rPr>
          <w:lang w:eastAsia="ja-JP"/>
        </w:rPr>
        <w:t>we assume the office model with 12 BSs, each serving almost 10 UEs (UE to BS association is based on geometry). Total number of UEs in the system are assumed to be 120 UEs</w:t>
      </w:r>
      <w:r w:rsidR="00BB799A" w:rsidRPr="00D85599">
        <w:rPr>
          <w:lang w:eastAsia="ja-JP"/>
        </w:rPr>
        <w:t>.</w:t>
      </w:r>
      <w:r w:rsidR="00BB799A">
        <w:rPr>
          <w:lang w:eastAsia="ja-JP"/>
        </w:rPr>
        <w:t xml:space="preserve"> We assume almost 60% of UEs are randomly marked as UL UEs, i.e., UEs with uplink traffic, while the rest of UEs are UEs marked as DL UEs. </w:t>
      </w:r>
      <w:r w:rsidR="002F498B">
        <w:rPr>
          <w:lang w:eastAsia="ja-JP"/>
        </w:rPr>
        <w:t xml:space="preserve">The purpose of this evaluation is to study an upper bound for system </w:t>
      </w:r>
      <w:r w:rsidR="00DC3653">
        <w:rPr>
          <w:lang w:eastAsia="ja-JP"/>
        </w:rPr>
        <w:t>enhancement (in terms of UL throughput, coverage, etc) so i</w:t>
      </w:r>
      <w:r w:rsidR="00BB799A">
        <w:rPr>
          <w:lang w:eastAsia="ja-JP"/>
        </w:rPr>
        <w:t>n this setup we don’t mandate any special UE clustering</w:t>
      </w:r>
      <w:r w:rsidR="00DC3653">
        <w:rPr>
          <w:lang w:eastAsia="ja-JP"/>
        </w:rPr>
        <w:t xml:space="preserve"> where we assume UE dropping is done randomly, as clustering UEs increase the chance of severe UE-to-UE CLI. Aligned with the same purpose, we assume a TRP operating at SBFD is capable to keep the same number of Tx/Rx antenna elements as operating in legacy TDD (so no loss to SBFD operation in terms of antenna arrays). </w:t>
      </w:r>
      <w:r w:rsidR="007B25CD">
        <w:rPr>
          <w:lang w:eastAsia="ja-JP"/>
        </w:rPr>
        <w:t>Further, to the favour of an upper bound, we assume no UE-to-UE nor gNB-to-gNB CLI</w:t>
      </w:r>
      <w:r w:rsidR="00BB799A">
        <w:rPr>
          <w:lang w:val="en-US" w:eastAsia="zh-CN"/>
        </w:rPr>
        <w:t>. BS to BS distance is assumed to be 20m, following indoor office model in [2] and [</w:t>
      </w:r>
      <w:r w:rsidR="00D756B9">
        <w:rPr>
          <w:lang w:val="en-US" w:eastAsia="zh-CN"/>
        </w:rPr>
        <w:t>4</w:t>
      </w:r>
      <w:r w:rsidR="00BB799A">
        <w:rPr>
          <w:lang w:val="en-US" w:eastAsia="zh-CN"/>
        </w:rPr>
        <w:t>]</w:t>
      </w:r>
      <w:r w:rsidR="0047640E">
        <w:rPr>
          <w:lang w:val="en-US" w:eastAsia="zh-CN"/>
        </w:rPr>
        <w:t xml:space="preserve">. For FR1 and for indoor scenario, we assume no antenna gain, and no </w:t>
      </w:r>
      <w:r w:rsidR="0047640E">
        <w:rPr>
          <w:lang w:eastAsia="ja-JP"/>
        </w:rPr>
        <w:t>beamforming/</w:t>
      </w:r>
      <w:r w:rsidR="0047640E" w:rsidRPr="0071330E">
        <w:rPr>
          <w:lang w:eastAsia="ja-JP"/>
        </w:rPr>
        <w:t>directional</w:t>
      </w:r>
      <w:r w:rsidR="0047640E">
        <w:rPr>
          <w:lang w:eastAsia="ja-JP"/>
        </w:rPr>
        <w:t>ity</w:t>
      </w:r>
      <w:r w:rsidR="0047640E" w:rsidRPr="0071330E">
        <w:rPr>
          <w:lang w:eastAsia="ja-JP"/>
        </w:rPr>
        <w:t xml:space="preserve"> array gain</w:t>
      </w:r>
      <w:r w:rsidR="0047640E">
        <w:rPr>
          <w:lang w:eastAsia="ja-JP"/>
        </w:rPr>
        <w:t>, neither at UE nor at the BSs</w:t>
      </w:r>
      <w:r w:rsidR="007B25CD">
        <w:rPr>
          <w:lang w:eastAsia="ja-JP"/>
        </w:rPr>
        <w:t xml:space="preserve"> (same assumption is applied to both SBFD and legacy TDD).</w:t>
      </w:r>
      <w:r w:rsidR="0083279F">
        <w:rPr>
          <w:lang w:eastAsia="ja-JP"/>
        </w:rPr>
        <w:t xml:space="preserve"> </w:t>
      </w:r>
      <w:r w:rsidR="0083279F">
        <w:rPr>
          <w:lang w:val="en-US" w:eastAsia="zh-CN"/>
        </w:rPr>
        <w:t>Further system assumptions are given in Appendix, mainly from [</w:t>
      </w:r>
      <w:r w:rsidR="00D756B9">
        <w:rPr>
          <w:lang w:val="en-US" w:eastAsia="zh-CN"/>
        </w:rPr>
        <w:t>4</w:t>
      </w:r>
      <w:r w:rsidR="0083279F">
        <w:rPr>
          <w:lang w:val="en-US" w:eastAsia="zh-CN"/>
        </w:rPr>
        <w:t>], with some modifications to [</w:t>
      </w:r>
      <w:r w:rsidR="00D756B9">
        <w:rPr>
          <w:lang w:val="en-US" w:eastAsia="zh-CN"/>
        </w:rPr>
        <w:t>4</w:t>
      </w:r>
      <w:r w:rsidR="0083279F">
        <w:rPr>
          <w:lang w:val="en-US" w:eastAsia="zh-CN"/>
        </w:rPr>
        <w:t xml:space="preserve">] shown in </w:t>
      </w:r>
      <w:r w:rsidR="0083279F" w:rsidRPr="00E344A2">
        <w:rPr>
          <w:i/>
          <w:iCs/>
          <w:lang w:val="en-US" w:eastAsia="zh-CN"/>
        </w:rPr>
        <w:t>italic</w:t>
      </w:r>
      <w:r w:rsidR="0083279F">
        <w:rPr>
          <w:lang w:val="en-US" w:eastAsia="zh-CN"/>
        </w:rPr>
        <w:t xml:space="preserve"> font, as explained in Appendix. </w:t>
      </w:r>
    </w:p>
    <w:p w14:paraId="346D297B" w14:textId="70A9A0E7" w:rsidR="00BB799A" w:rsidRDefault="00BB799A" w:rsidP="00BB799A">
      <w:pPr>
        <w:pStyle w:val="0Maintext"/>
        <w:spacing w:after="120" w:afterAutospacing="0" w:line="240" w:lineRule="auto"/>
        <w:ind w:firstLine="0"/>
        <w:rPr>
          <w:lang w:eastAsia="ja-JP"/>
        </w:rPr>
      </w:pPr>
      <w:r>
        <w:rPr>
          <w:lang w:eastAsia="ja-JP"/>
        </w:rPr>
        <w:t xml:space="preserve">In the following we compare achievable UL and DL throughputs for between SBFD and legacy TDD, where we assume no UE-to-UE CLI, no gNB-to-gNB CLI and no SI at gNB for SBFD case (that is why we refer to the observations in this sub-section as </w:t>
      </w:r>
      <w:r w:rsidRPr="00AB001F">
        <w:rPr>
          <w:i/>
          <w:iCs/>
          <w:lang w:eastAsia="ja-JP"/>
        </w:rPr>
        <w:t>ideal</w:t>
      </w:r>
      <w:r>
        <w:rPr>
          <w:lang w:eastAsia="ja-JP"/>
        </w:rPr>
        <w:t xml:space="preserve">). For SBFD, we assume deployment Case 1 as agreed in RAN1#109-e for evaluation purpose (thus there is no intra sub-band CLI) that is </w:t>
      </w:r>
    </w:p>
    <w:p w14:paraId="5ADD1266" w14:textId="77777777" w:rsidR="00BB799A" w:rsidRDefault="00BB799A" w:rsidP="00BB799A">
      <w:pPr>
        <w:numPr>
          <w:ilvl w:val="0"/>
          <w:numId w:val="22"/>
        </w:numPr>
        <w:jc w:val="both"/>
        <w:rPr>
          <w:rFonts w:cs="Batang"/>
          <w:bCs/>
          <w:iCs/>
          <w:sz w:val="20"/>
          <w:szCs w:val="20"/>
          <w:lang w:val="en-GB" w:eastAsia="ja-JP"/>
        </w:rPr>
      </w:pPr>
      <w:r w:rsidRPr="00B75C79">
        <w:rPr>
          <w:rFonts w:cs="Batang"/>
          <w:bCs/>
          <w:iCs/>
          <w:sz w:val="20"/>
          <w:szCs w:val="20"/>
          <w:lang w:val="en-GB" w:eastAsia="ja-JP"/>
        </w:rPr>
        <w:t>(Non-coexistence case with single SBFD subband configuration): One single operator using one single carrier is considered. All the cells belonging to the operator use SBFD operation with the same SBFD subband configuration.</w:t>
      </w:r>
    </w:p>
    <w:p w14:paraId="6E17AE2A" w14:textId="77777777" w:rsidR="00BB799A" w:rsidRDefault="00BB799A" w:rsidP="00BB799A">
      <w:pPr>
        <w:jc w:val="both"/>
        <w:rPr>
          <w:rFonts w:cs="Batang"/>
          <w:bCs/>
          <w:iCs/>
          <w:sz w:val="20"/>
          <w:szCs w:val="20"/>
          <w:lang w:val="en-GB" w:eastAsia="ja-JP"/>
        </w:rPr>
      </w:pPr>
    </w:p>
    <w:p w14:paraId="1D817CAB" w14:textId="77777777" w:rsidR="00BB799A" w:rsidRDefault="00BB799A" w:rsidP="00BB799A">
      <w:pPr>
        <w:jc w:val="both"/>
        <w:rPr>
          <w:rFonts w:cs="Batang"/>
          <w:bCs/>
          <w:iCs/>
          <w:sz w:val="20"/>
          <w:szCs w:val="20"/>
          <w:lang w:val="en-GB" w:eastAsia="ja-JP"/>
        </w:rPr>
      </w:pPr>
      <w:r>
        <w:rPr>
          <w:rFonts w:cs="Batang"/>
          <w:bCs/>
          <w:iCs/>
          <w:sz w:val="20"/>
          <w:szCs w:val="20"/>
          <w:lang w:val="en-GB" w:eastAsia="ja-JP"/>
        </w:rPr>
        <w:t xml:space="preserve">We also assume 60% of resources are allocated to UL UEs and 40% of resources are allocated to DL UEs for both SBFD configuration and legacy TDD configuration. For the sake of simplicity, we do not assume guard band for SBFD or guard time for legacy TDD. </w:t>
      </w:r>
    </w:p>
    <w:p w14:paraId="1598674C" w14:textId="77777777" w:rsidR="00BB799A" w:rsidRDefault="00BB799A" w:rsidP="00EA2090">
      <w:pPr>
        <w:pStyle w:val="0Maintext"/>
        <w:spacing w:after="120" w:afterAutospacing="0" w:line="240" w:lineRule="auto"/>
        <w:ind w:firstLine="0"/>
        <w:rPr>
          <w:lang w:val="en-US" w:eastAsia="zh-CN"/>
        </w:rPr>
      </w:pPr>
    </w:p>
    <w:p w14:paraId="424B23AC" w14:textId="4424B91B" w:rsidR="002562BF" w:rsidRDefault="002562BF" w:rsidP="008236A0">
      <w:pPr>
        <w:rPr>
          <w:rFonts w:cs="Batang"/>
          <w:sz w:val="20"/>
          <w:szCs w:val="20"/>
          <w:lang w:val="en-GB" w:eastAsia="ja-JP"/>
        </w:rPr>
      </w:pPr>
    </w:p>
    <w:p w14:paraId="67CCC916" w14:textId="3D8F6F0B" w:rsidR="00D613FB" w:rsidRDefault="00D613FB" w:rsidP="00142FD2">
      <w:pPr>
        <w:jc w:val="center"/>
        <w:rPr>
          <w:rFonts w:cs="Batang"/>
          <w:bCs/>
          <w:iCs/>
          <w:sz w:val="20"/>
          <w:szCs w:val="20"/>
          <w:lang w:val="en-GB" w:eastAsia="ja-JP"/>
        </w:rPr>
      </w:pPr>
      <w:r w:rsidRPr="00D613FB">
        <w:rPr>
          <w:rFonts w:cs="Batang"/>
          <w:bCs/>
          <w:iCs/>
          <w:noProof/>
          <w:sz w:val="20"/>
          <w:szCs w:val="20"/>
          <w:lang w:val="en-GB" w:eastAsia="ja-JP"/>
        </w:rPr>
        <w:lastRenderedPageBreak/>
        <w:drawing>
          <wp:inline distT="0" distB="0" distL="0" distR="0" wp14:anchorId="1EDBCA3C" wp14:editId="38DB6B3B">
            <wp:extent cx="2836757" cy="212756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924217" cy="2193159"/>
                    </a:xfrm>
                    <a:prstGeom prst="rect">
                      <a:avLst/>
                    </a:prstGeom>
                  </pic:spPr>
                </pic:pic>
              </a:graphicData>
            </a:graphic>
          </wp:inline>
        </w:drawing>
      </w:r>
      <w:r w:rsidR="00142FD2" w:rsidRPr="00142FD2">
        <w:rPr>
          <w:rFonts w:cs="Batang"/>
          <w:bCs/>
          <w:iCs/>
          <w:noProof/>
          <w:sz w:val="20"/>
          <w:szCs w:val="20"/>
          <w:lang w:val="en-GB" w:eastAsia="ja-JP"/>
        </w:rPr>
        <w:drawing>
          <wp:inline distT="0" distB="0" distL="0" distR="0" wp14:anchorId="42A3DC5A" wp14:editId="09A61A6B">
            <wp:extent cx="2800121" cy="21000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821153" cy="2115864"/>
                    </a:xfrm>
                    <a:prstGeom prst="rect">
                      <a:avLst/>
                    </a:prstGeom>
                  </pic:spPr>
                </pic:pic>
              </a:graphicData>
            </a:graphic>
          </wp:inline>
        </w:drawing>
      </w:r>
    </w:p>
    <w:p w14:paraId="2B4F3449" w14:textId="32E4A814" w:rsidR="00D613FB" w:rsidRPr="000C0C18" w:rsidRDefault="00D613FB" w:rsidP="00D613FB">
      <w:pPr>
        <w:jc w:val="center"/>
        <w:rPr>
          <w:rFonts w:cs="Batang"/>
          <w:sz w:val="20"/>
          <w:szCs w:val="20"/>
          <w:lang w:val="en-GB" w:eastAsia="ja-JP"/>
        </w:rPr>
      </w:pPr>
    </w:p>
    <w:p w14:paraId="18959350" w14:textId="385F97FF" w:rsidR="00D613FB" w:rsidRDefault="00D613FB" w:rsidP="00D613FB">
      <w:pPr>
        <w:pStyle w:val="TH"/>
        <w:rPr>
          <w:lang w:val="en-US"/>
        </w:rPr>
      </w:pPr>
      <w:r>
        <w:rPr>
          <w:rFonts w:eastAsia="SimSun"/>
          <w:kern w:val="24"/>
          <w:lang w:val="en-GB" w:eastAsia="ja-JP"/>
        </w:rPr>
        <w:t xml:space="preserve">Figure </w:t>
      </w:r>
      <w:r w:rsidR="0082334B">
        <w:rPr>
          <w:rFonts w:eastAsia="SimSun"/>
          <w:kern w:val="24"/>
          <w:lang w:val="en-GB" w:eastAsia="ja-JP"/>
        </w:rPr>
        <w:t>1</w:t>
      </w:r>
      <w:r>
        <w:rPr>
          <w:lang w:val="en-US"/>
        </w:rPr>
        <w:t xml:space="preserve">: </w:t>
      </w:r>
      <w:r w:rsidR="00142FD2">
        <w:rPr>
          <w:lang w:val="en-US"/>
        </w:rPr>
        <w:t xml:space="preserve">Average (left) and 5% </w:t>
      </w:r>
      <w:r w:rsidR="008A353B">
        <w:rPr>
          <w:lang w:val="en-US"/>
        </w:rPr>
        <w:t xml:space="preserve">(right) </w:t>
      </w:r>
      <w:r w:rsidR="00142FD2">
        <w:rPr>
          <w:lang w:val="en-US"/>
        </w:rPr>
        <w:t>DL Throughput</w:t>
      </w:r>
      <w:r>
        <w:rPr>
          <w:lang w:val="en-US"/>
        </w:rPr>
        <w:t xml:space="preserve"> </w:t>
      </w:r>
    </w:p>
    <w:p w14:paraId="295EE7E7" w14:textId="264408A8" w:rsidR="008A353B" w:rsidRDefault="008A353B" w:rsidP="008A353B">
      <w:pPr>
        <w:jc w:val="center"/>
        <w:rPr>
          <w:rFonts w:cs="Batang"/>
          <w:bCs/>
          <w:iCs/>
          <w:sz w:val="20"/>
          <w:szCs w:val="20"/>
          <w:lang w:val="en-GB" w:eastAsia="ja-JP"/>
        </w:rPr>
      </w:pPr>
      <w:r w:rsidRPr="008A353B">
        <w:rPr>
          <w:rFonts w:cs="Batang"/>
          <w:bCs/>
          <w:iCs/>
          <w:noProof/>
          <w:sz w:val="20"/>
          <w:szCs w:val="20"/>
          <w:lang w:val="en-GB" w:eastAsia="ja-JP"/>
        </w:rPr>
        <w:drawing>
          <wp:inline distT="0" distB="0" distL="0" distR="0" wp14:anchorId="5C7DA3A2" wp14:editId="01610F5A">
            <wp:extent cx="2752253" cy="2064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768136" cy="2076103"/>
                    </a:xfrm>
                    <a:prstGeom prst="rect">
                      <a:avLst/>
                    </a:prstGeom>
                  </pic:spPr>
                </pic:pic>
              </a:graphicData>
            </a:graphic>
          </wp:inline>
        </w:drawing>
      </w:r>
      <w:r w:rsidRPr="008A353B">
        <w:rPr>
          <w:rFonts w:cs="Batang"/>
          <w:bCs/>
          <w:iCs/>
          <w:noProof/>
          <w:sz w:val="20"/>
          <w:szCs w:val="20"/>
          <w:lang w:val="en-GB" w:eastAsia="ja-JP"/>
        </w:rPr>
        <w:drawing>
          <wp:inline distT="0" distB="0" distL="0" distR="0" wp14:anchorId="1B0CDC24" wp14:editId="5E3384AB">
            <wp:extent cx="2712769" cy="203457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33179" cy="2049884"/>
                    </a:xfrm>
                    <a:prstGeom prst="rect">
                      <a:avLst/>
                    </a:prstGeom>
                  </pic:spPr>
                </pic:pic>
              </a:graphicData>
            </a:graphic>
          </wp:inline>
        </w:drawing>
      </w:r>
    </w:p>
    <w:p w14:paraId="38F345E9" w14:textId="77777777" w:rsidR="008A353B" w:rsidRPr="000C0C18" w:rsidRDefault="008A353B" w:rsidP="008A353B">
      <w:pPr>
        <w:jc w:val="center"/>
        <w:rPr>
          <w:rFonts w:cs="Batang"/>
          <w:sz w:val="20"/>
          <w:szCs w:val="20"/>
          <w:lang w:val="en-GB" w:eastAsia="ja-JP"/>
        </w:rPr>
      </w:pPr>
    </w:p>
    <w:p w14:paraId="67CDCFF0" w14:textId="0FCB168A" w:rsidR="008A353B" w:rsidRDefault="008A353B" w:rsidP="008A353B">
      <w:pPr>
        <w:pStyle w:val="TH"/>
        <w:rPr>
          <w:lang w:val="en-US"/>
        </w:rPr>
      </w:pPr>
      <w:r>
        <w:rPr>
          <w:rFonts w:eastAsia="SimSun"/>
          <w:kern w:val="24"/>
          <w:lang w:val="en-GB" w:eastAsia="ja-JP"/>
        </w:rPr>
        <w:t xml:space="preserve">Figure </w:t>
      </w:r>
      <w:r w:rsidR="0082334B">
        <w:rPr>
          <w:rFonts w:eastAsia="SimSun"/>
          <w:kern w:val="24"/>
          <w:lang w:val="en-GB" w:eastAsia="ja-JP"/>
        </w:rPr>
        <w:t>2</w:t>
      </w:r>
      <w:r>
        <w:rPr>
          <w:lang w:val="en-US"/>
        </w:rPr>
        <w:t xml:space="preserve">: Average (left) and 5% (right) UL Throughput </w:t>
      </w:r>
    </w:p>
    <w:p w14:paraId="2D8383AA" w14:textId="77777777" w:rsidR="008A353B" w:rsidRDefault="008A353B" w:rsidP="00D613FB">
      <w:pPr>
        <w:pStyle w:val="TH"/>
        <w:rPr>
          <w:lang w:val="en-US"/>
        </w:rPr>
      </w:pPr>
    </w:p>
    <w:p w14:paraId="2E7DCDDC" w14:textId="3747640B" w:rsidR="00D613FB" w:rsidRDefault="008A353B" w:rsidP="00011482">
      <w:pPr>
        <w:jc w:val="both"/>
        <w:rPr>
          <w:rFonts w:cs="Batang"/>
          <w:bCs/>
          <w:iCs/>
          <w:sz w:val="20"/>
          <w:szCs w:val="20"/>
          <w:lang w:val="en-GB" w:eastAsia="ja-JP"/>
        </w:rPr>
      </w:pPr>
      <w:r>
        <w:rPr>
          <w:rFonts w:cs="Batang"/>
          <w:bCs/>
          <w:iCs/>
          <w:sz w:val="20"/>
          <w:szCs w:val="20"/>
          <w:lang w:val="en-GB" w:eastAsia="ja-JP"/>
        </w:rPr>
        <w:t xml:space="preserve">From Fig. </w:t>
      </w:r>
      <w:r w:rsidR="0082334B">
        <w:rPr>
          <w:rFonts w:cs="Batang"/>
          <w:bCs/>
          <w:iCs/>
          <w:sz w:val="20"/>
          <w:szCs w:val="20"/>
          <w:lang w:val="en-GB" w:eastAsia="ja-JP"/>
        </w:rPr>
        <w:t>1</w:t>
      </w:r>
      <w:r>
        <w:rPr>
          <w:rFonts w:cs="Batang"/>
          <w:bCs/>
          <w:iCs/>
          <w:sz w:val="20"/>
          <w:szCs w:val="20"/>
          <w:lang w:val="en-GB" w:eastAsia="ja-JP"/>
        </w:rPr>
        <w:t xml:space="preserve"> and </w:t>
      </w:r>
      <w:r w:rsidR="0082334B">
        <w:rPr>
          <w:rFonts w:cs="Batang"/>
          <w:bCs/>
          <w:iCs/>
          <w:sz w:val="20"/>
          <w:szCs w:val="20"/>
          <w:lang w:val="en-GB" w:eastAsia="ja-JP"/>
        </w:rPr>
        <w:t>2</w:t>
      </w:r>
      <w:r>
        <w:rPr>
          <w:rFonts w:cs="Batang"/>
          <w:bCs/>
          <w:iCs/>
          <w:sz w:val="20"/>
          <w:szCs w:val="20"/>
          <w:lang w:val="en-GB" w:eastAsia="ja-JP"/>
        </w:rPr>
        <w:t xml:space="preserve">, the most significant gain in throughput is achieved for uplink cell-edge UE, which is almost 10%. For average uplink and downlink throughput no meaningful gain in throughput is achieved, which is expected given that same </w:t>
      </w:r>
      <w:r w:rsidR="00695A77">
        <w:rPr>
          <w:rFonts w:cs="Batang"/>
          <w:bCs/>
          <w:iCs/>
          <w:sz w:val="20"/>
          <w:szCs w:val="20"/>
          <w:lang w:val="en-GB" w:eastAsia="ja-JP"/>
        </w:rPr>
        <w:t xml:space="preserve">ratio of resources between legacy TDD and SBFD is assumed. It shall be noted though the observed 10% gain in UL system throughput is ideal, as no interference is modelled. </w:t>
      </w:r>
    </w:p>
    <w:p w14:paraId="1E9B25A0" w14:textId="77777777" w:rsidR="003C3216" w:rsidRDefault="003C3216" w:rsidP="00011482">
      <w:pPr>
        <w:jc w:val="both"/>
        <w:rPr>
          <w:rFonts w:cs="Batang"/>
          <w:b/>
          <w:bCs/>
          <w:i/>
          <w:iCs/>
          <w:sz w:val="20"/>
          <w:szCs w:val="20"/>
          <w:lang w:eastAsia="ja-JP"/>
        </w:rPr>
      </w:pPr>
    </w:p>
    <w:p w14:paraId="7DCA45F5" w14:textId="062D9D49" w:rsidR="00B77E21" w:rsidRPr="00AA55AD" w:rsidRDefault="00B77E21" w:rsidP="00011482">
      <w:pPr>
        <w:jc w:val="both"/>
        <w:rPr>
          <w:rFonts w:cs="Batang"/>
          <w:sz w:val="20"/>
          <w:szCs w:val="20"/>
          <w:lang w:val="en-GB" w:eastAsia="ja-JP"/>
        </w:rPr>
      </w:pPr>
      <w:r w:rsidRPr="0073434C">
        <w:rPr>
          <w:rFonts w:cs="Batang"/>
          <w:b/>
          <w:bCs/>
          <w:sz w:val="20"/>
          <w:szCs w:val="20"/>
          <w:lang w:eastAsia="ja-JP"/>
        </w:rPr>
        <w:t>Observation</w:t>
      </w:r>
      <w:r w:rsidRPr="0073434C">
        <w:rPr>
          <w:rFonts w:cs="Batang"/>
          <w:sz w:val="20"/>
          <w:szCs w:val="20"/>
          <w:lang w:eastAsia="ja-JP"/>
        </w:rPr>
        <w:t xml:space="preserve">: </w:t>
      </w:r>
      <w:r w:rsidR="003C3216" w:rsidRPr="0073434C">
        <w:rPr>
          <w:rFonts w:cs="Batang"/>
          <w:sz w:val="20"/>
          <w:szCs w:val="20"/>
          <w:lang w:eastAsia="ja-JP"/>
        </w:rPr>
        <w:t>For indoor scenario with no CLI/SI at UE or gNB, UL throughput enhancement for cell-edge UEs is limited to 10%</w:t>
      </w:r>
      <w:r w:rsidR="0082334B" w:rsidRPr="0073434C">
        <w:rPr>
          <w:rFonts w:cs="Batang"/>
          <w:sz w:val="20"/>
          <w:szCs w:val="20"/>
          <w:lang w:eastAsia="ja-JP"/>
        </w:rPr>
        <w:t>.</w:t>
      </w:r>
    </w:p>
    <w:p w14:paraId="319B6700" w14:textId="2C7FF69F" w:rsidR="007A1F9E" w:rsidRDefault="007A1F9E" w:rsidP="007A1F9E">
      <w:pPr>
        <w:pStyle w:val="Heading1"/>
      </w:pPr>
      <w:r>
        <w:t>Conclusion</w:t>
      </w:r>
    </w:p>
    <w:p w14:paraId="25AC3933" w14:textId="7A53B1AD" w:rsidR="003C3216" w:rsidRPr="003C3216" w:rsidRDefault="007A1F9E" w:rsidP="003C3216">
      <w:pPr>
        <w:pStyle w:val="0Maintext"/>
        <w:spacing w:after="120" w:afterAutospacing="0" w:line="240" w:lineRule="auto"/>
        <w:ind w:firstLine="0"/>
        <w:rPr>
          <w:lang w:val="en-US" w:eastAsia="zh-CN"/>
        </w:rPr>
      </w:pPr>
      <w:r>
        <w:rPr>
          <w:lang w:val="en-US" w:eastAsia="zh-CN"/>
        </w:rPr>
        <w:t xml:space="preserve">In this contribution, we </w:t>
      </w:r>
      <w:r w:rsidR="00973A25">
        <w:rPr>
          <w:lang w:val="en-US" w:eastAsia="zh-CN"/>
        </w:rPr>
        <w:t xml:space="preserve">provided some </w:t>
      </w:r>
      <w:r w:rsidR="00CA3110">
        <w:rPr>
          <w:lang w:val="en-US" w:eastAsia="zh-CN"/>
        </w:rPr>
        <w:t>evaluation results for co-channel UE-to-UE CLI. Based on what we discussed, the following proposal</w:t>
      </w:r>
      <w:r w:rsidR="003C3216">
        <w:rPr>
          <w:lang w:val="en-US" w:eastAsia="zh-CN"/>
        </w:rPr>
        <w:t>s</w:t>
      </w:r>
      <w:r w:rsidR="00CA3110">
        <w:rPr>
          <w:lang w:val="en-US" w:eastAsia="zh-CN"/>
        </w:rPr>
        <w:t xml:space="preserve"> and observation are made:</w:t>
      </w:r>
      <w:r w:rsidR="003C3216">
        <w:t xml:space="preserve"> </w:t>
      </w:r>
      <w:r w:rsidR="003C3216" w:rsidRPr="006D4F66">
        <w:t xml:space="preserve"> </w:t>
      </w:r>
    </w:p>
    <w:p w14:paraId="31B32286" w14:textId="77777777" w:rsidR="005B7657" w:rsidRDefault="005B7657" w:rsidP="005B7657">
      <w:pPr>
        <w:pStyle w:val="0Maintext"/>
        <w:spacing w:after="120" w:afterAutospacing="0" w:line="240" w:lineRule="auto"/>
        <w:ind w:firstLine="0"/>
      </w:pPr>
      <w:r w:rsidRPr="0073434C">
        <w:rPr>
          <w:b/>
          <w:bCs/>
          <w:lang w:val="en-US" w:eastAsia="zh-CN"/>
        </w:rPr>
        <w:t xml:space="preserve">Proposal </w:t>
      </w:r>
      <w:r>
        <w:rPr>
          <w:b/>
          <w:bCs/>
          <w:lang w:val="en-US" w:eastAsia="zh-CN"/>
        </w:rPr>
        <w:t>1</w:t>
      </w:r>
      <w:r w:rsidRPr="0073434C">
        <w:rPr>
          <w:lang w:val="en-US" w:eastAsia="zh-CN"/>
        </w:rPr>
        <w:t xml:space="preserve">: </w:t>
      </w:r>
      <w:r w:rsidRPr="0073434C">
        <w:t>RAN1 to consider the impact of</w:t>
      </w:r>
      <w:r w:rsidRPr="0073434C">
        <w:rPr>
          <w:lang w:val="en-US"/>
        </w:rPr>
        <w:t xml:space="preserve"> </w:t>
      </w:r>
      <w:r w:rsidRPr="0073434C">
        <w:t>channel reciprocity</w:t>
      </w:r>
      <w:r>
        <w:t xml:space="preserve"> loss to DL performance.</w:t>
      </w:r>
    </w:p>
    <w:p w14:paraId="2D8FAE5B" w14:textId="77777777" w:rsidR="005B7657" w:rsidRDefault="005B7657" w:rsidP="005B7657">
      <w:pPr>
        <w:pStyle w:val="0Maintext"/>
        <w:spacing w:after="120" w:afterAutospacing="0" w:line="240" w:lineRule="auto"/>
        <w:ind w:firstLine="0"/>
      </w:pPr>
      <w:r w:rsidRPr="0073434C">
        <w:rPr>
          <w:b/>
          <w:bCs/>
          <w:lang w:val="en-US" w:eastAsia="zh-CN"/>
        </w:rPr>
        <w:t xml:space="preserve">Proposal </w:t>
      </w:r>
      <w:r>
        <w:rPr>
          <w:b/>
          <w:bCs/>
          <w:lang w:val="en-US" w:eastAsia="zh-CN"/>
        </w:rPr>
        <w:t>2</w:t>
      </w:r>
      <w:r w:rsidRPr="0073434C">
        <w:rPr>
          <w:lang w:val="en-US" w:eastAsia="zh-CN"/>
        </w:rPr>
        <w:t xml:space="preserve">: </w:t>
      </w:r>
      <w:r w:rsidRPr="0073434C">
        <w:t xml:space="preserve">RAN1 to consider the impact </w:t>
      </w:r>
      <w:r>
        <w:t>of potentially reduced transmit power</w:t>
      </w:r>
      <w:r w:rsidRPr="0073434C">
        <w:t xml:space="preserve"> </w:t>
      </w:r>
      <w:r>
        <w:t xml:space="preserve">for uplink transmission </w:t>
      </w:r>
      <w:r w:rsidRPr="0073434C">
        <w:t>on SBFD</w:t>
      </w:r>
      <w:r>
        <w:t xml:space="preserve"> slots</w:t>
      </w:r>
      <w:r w:rsidRPr="0073434C">
        <w:t xml:space="preserve"> </w:t>
      </w:r>
      <w:r>
        <w:t xml:space="preserve">to SBFD </w:t>
      </w:r>
      <w:r w:rsidRPr="0073434C">
        <w:t>performance.</w:t>
      </w:r>
    </w:p>
    <w:p w14:paraId="0F369541" w14:textId="77777777" w:rsidR="005B7657" w:rsidRPr="00CA24CB" w:rsidRDefault="005B7657" w:rsidP="005B7657">
      <w:pPr>
        <w:pStyle w:val="0Maintext"/>
        <w:spacing w:after="120" w:afterAutospacing="0" w:line="240" w:lineRule="auto"/>
        <w:ind w:firstLine="0"/>
      </w:pPr>
      <w:r w:rsidRPr="0073434C">
        <w:rPr>
          <w:b/>
          <w:bCs/>
          <w:lang w:val="en-US" w:eastAsia="zh-CN"/>
        </w:rPr>
        <w:t xml:space="preserve">Proposal </w:t>
      </w:r>
      <w:r>
        <w:rPr>
          <w:b/>
          <w:bCs/>
          <w:lang w:val="en-US" w:eastAsia="zh-CN"/>
        </w:rPr>
        <w:t>3</w:t>
      </w:r>
      <w:r w:rsidRPr="0073434C">
        <w:rPr>
          <w:lang w:val="en-US" w:eastAsia="zh-CN"/>
        </w:rPr>
        <w:t>:</w:t>
      </w:r>
      <w:r>
        <w:t xml:space="preserve"> </w:t>
      </w:r>
      <w:r w:rsidRPr="00CA24CB">
        <w:rPr>
          <w:lang w:val="en-US"/>
        </w:rPr>
        <w:t>For PUSCH LLS coverage evaluation, do not assume joint channel estimation across SBFD and non-</w:t>
      </w:r>
    </w:p>
    <w:p w14:paraId="270F38EF" w14:textId="63196F6B" w:rsidR="005B7657" w:rsidRDefault="005B7657" w:rsidP="005B7657">
      <w:pPr>
        <w:pStyle w:val="0Maintext"/>
        <w:spacing w:after="120" w:afterAutospacing="0" w:line="240" w:lineRule="auto"/>
        <w:ind w:firstLine="0"/>
      </w:pPr>
      <w:r w:rsidRPr="00CA24CB">
        <w:rPr>
          <w:lang w:val="en-US"/>
        </w:rPr>
        <w:t>SBFD slots</w:t>
      </w:r>
      <w:r>
        <w:rPr>
          <w:lang w:val="en-US"/>
        </w:rPr>
        <w:t>.</w:t>
      </w:r>
    </w:p>
    <w:p w14:paraId="6419285F" w14:textId="7D8E9C91" w:rsidR="005B7657" w:rsidRPr="005B7657" w:rsidRDefault="005B7657" w:rsidP="005B7657">
      <w:pPr>
        <w:tabs>
          <w:tab w:val="left" w:pos="640"/>
        </w:tabs>
        <w:jc w:val="both"/>
        <w:rPr>
          <w:rFonts w:cs="Batang"/>
          <w:b/>
          <w:bCs/>
          <w:sz w:val="20"/>
          <w:szCs w:val="20"/>
        </w:rPr>
      </w:pPr>
      <w:r w:rsidRPr="0073434C">
        <w:rPr>
          <w:rFonts w:cs="Batang"/>
          <w:b/>
          <w:bCs/>
          <w:sz w:val="20"/>
          <w:szCs w:val="20"/>
        </w:rPr>
        <w:t xml:space="preserve">Proposal </w:t>
      </w:r>
      <w:r>
        <w:rPr>
          <w:rFonts w:cs="Batang"/>
          <w:b/>
          <w:bCs/>
          <w:sz w:val="20"/>
          <w:szCs w:val="20"/>
        </w:rPr>
        <w:t>4</w:t>
      </w:r>
      <w:r w:rsidRPr="0073434C">
        <w:rPr>
          <w:rFonts w:cs="Batang"/>
          <w:sz w:val="20"/>
          <w:szCs w:val="20"/>
        </w:rPr>
        <w:t>: Prioritize scenarios for Deployment Case 1, for which assuming the current signaling available at the scheduler to avoid CLI, UE-to-UE CLI is still the most severe case.</w:t>
      </w:r>
      <w:r w:rsidRPr="0073434C">
        <w:rPr>
          <w:rFonts w:cs="Batang"/>
          <w:b/>
          <w:bCs/>
          <w:sz w:val="20"/>
          <w:szCs w:val="20"/>
        </w:rPr>
        <w:t xml:space="preserve"> </w:t>
      </w:r>
      <w:r>
        <w:rPr>
          <w:sz w:val="20"/>
          <w:szCs w:val="20"/>
          <w:lang w:val="en-GB"/>
        </w:rPr>
        <w:t xml:space="preserve"> </w:t>
      </w:r>
      <w:r w:rsidRPr="006D4F66">
        <w:rPr>
          <w:sz w:val="20"/>
          <w:szCs w:val="20"/>
          <w:lang w:val="en-GB"/>
        </w:rPr>
        <w:t xml:space="preserve"> </w:t>
      </w:r>
    </w:p>
    <w:p w14:paraId="342EAC23" w14:textId="77777777" w:rsidR="005B7657" w:rsidRPr="0073434C" w:rsidRDefault="005B7657" w:rsidP="005B7657">
      <w:pPr>
        <w:pStyle w:val="0Maintext"/>
        <w:spacing w:after="120" w:afterAutospacing="0" w:line="240" w:lineRule="auto"/>
        <w:ind w:firstLine="0"/>
        <w:rPr>
          <w:lang w:val="en-US" w:eastAsia="zh-CN"/>
        </w:rPr>
      </w:pPr>
      <w:r w:rsidRPr="0073434C">
        <w:rPr>
          <w:b/>
          <w:bCs/>
          <w:lang w:val="en-US" w:eastAsia="zh-CN"/>
        </w:rPr>
        <w:t xml:space="preserve">Proposal </w:t>
      </w:r>
      <w:r>
        <w:rPr>
          <w:b/>
          <w:bCs/>
          <w:lang w:val="en-US" w:eastAsia="zh-CN"/>
        </w:rPr>
        <w:t>5</w:t>
      </w:r>
      <w:r w:rsidRPr="0073434C">
        <w:rPr>
          <w:lang w:val="en-US" w:eastAsia="zh-CN"/>
        </w:rPr>
        <w:t>: Full-duplex operation shall not be supported for macro-to-macro scenarios, at least for FR1.</w:t>
      </w:r>
    </w:p>
    <w:p w14:paraId="1AA8DD96" w14:textId="5B498534" w:rsidR="0082334B" w:rsidRPr="0073434C" w:rsidRDefault="0082334B" w:rsidP="0082334B">
      <w:pPr>
        <w:jc w:val="both"/>
        <w:rPr>
          <w:rFonts w:cs="Batang"/>
          <w:sz w:val="20"/>
          <w:szCs w:val="20"/>
          <w:lang w:val="en-GB" w:eastAsia="ja-JP"/>
        </w:rPr>
      </w:pPr>
      <w:r w:rsidRPr="0073434C">
        <w:rPr>
          <w:rFonts w:cs="Batang"/>
          <w:b/>
          <w:bCs/>
          <w:sz w:val="20"/>
          <w:szCs w:val="20"/>
          <w:lang w:eastAsia="ja-JP"/>
        </w:rPr>
        <w:lastRenderedPageBreak/>
        <w:t>Observation</w:t>
      </w:r>
      <w:r w:rsidRPr="0073434C">
        <w:rPr>
          <w:rFonts w:cs="Batang"/>
          <w:sz w:val="20"/>
          <w:szCs w:val="20"/>
          <w:lang w:eastAsia="ja-JP"/>
        </w:rPr>
        <w:t>: For indoor scenario with no CLI/SI at UE or gNB, UL throughput enhancement for cell-edge UEs is limited to 10%.</w:t>
      </w:r>
    </w:p>
    <w:p w14:paraId="7C63B91C" w14:textId="77777777" w:rsidR="003C3216" w:rsidRDefault="003C3216" w:rsidP="003C3216">
      <w:pPr>
        <w:jc w:val="both"/>
        <w:rPr>
          <w:rFonts w:cs="Batang"/>
          <w:bCs/>
          <w:iCs/>
          <w:sz w:val="20"/>
          <w:szCs w:val="20"/>
          <w:lang w:val="en-GB" w:eastAsia="ja-JP"/>
        </w:rPr>
      </w:pPr>
    </w:p>
    <w:p w14:paraId="7E51A379" w14:textId="0F8791F1" w:rsidR="00620C29" w:rsidRPr="004A7A40" w:rsidRDefault="004A7A40" w:rsidP="004A7A40">
      <w:pPr>
        <w:pStyle w:val="Heading1"/>
      </w:pPr>
      <w:r>
        <w:t>References</w:t>
      </w:r>
    </w:p>
    <w:p w14:paraId="05477947" w14:textId="492A082D" w:rsidR="00EF1791" w:rsidRPr="009C3CE8" w:rsidRDefault="00EF1791" w:rsidP="00EF1791">
      <w:pPr>
        <w:widowControl w:val="0"/>
        <w:numPr>
          <w:ilvl w:val="0"/>
          <w:numId w:val="14"/>
        </w:numPr>
        <w:jc w:val="both"/>
        <w:rPr>
          <w:sz w:val="20"/>
          <w:szCs w:val="20"/>
        </w:rPr>
      </w:pPr>
      <w:r w:rsidRPr="00EF1791">
        <w:rPr>
          <w:sz w:val="20"/>
          <w:szCs w:val="20"/>
        </w:rPr>
        <w:t>RP-213591, Moderator (</w:t>
      </w:r>
      <w:r>
        <w:rPr>
          <w:sz w:val="20"/>
          <w:szCs w:val="20"/>
        </w:rPr>
        <w:t>CMCC</w:t>
      </w:r>
      <w:r w:rsidRPr="00EF1791">
        <w:rPr>
          <w:sz w:val="20"/>
          <w:szCs w:val="20"/>
        </w:rPr>
        <w:t xml:space="preserve">), </w:t>
      </w:r>
      <w:r>
        <w:rPr>
          <w:sz w:val="20"/>
          <w:szCs w:val="20"/>
        </w:rPr>
        <w:t>“</w:t>
      </w:r>
      <w:r w:rsidRPr="00EF1791">
        <w:rPr>
          <w:sz w:val="20"/>
          <w:szCs w:val="20"/>
        </w:rPr>
        <w:t>SID Study on evolution of NR duplex operation</w:t>
      </w:r>
      <w:r>
        <w:rPr>
          <w:sz w:val="20"/>
          <w:szCs w:val="20"/>
        </w:rPr>
        <w:t>”</w:t>
      </w:r>
      <w:r w:rsidRPr="00EF1791">
        <w:rPr>
          <w:sz w:val="20"/>
          <w:szCs w:val="20"/>
          <w:lang w:val="en-GB"/>
        </w:rPr>
        <w:t>, Dec. 2021</w:t>
      </w:r>
    </w:p>
    <w:p w14:paraId="6C8880EF" w14:textId="033608AD" w:rsidR="009C3CE8" w:rsidRPr="00B33508" w:rsidRDefault="009C3CE8" w:rsidP="00EF1791">
      <w:pPr>
        <w:widowControl w:val="0"/>
        <w:numPr>
          <w:ilvl w:val="0"/>
          <w:numId w:val="14"/>
        </w:numPr>
        <w:jc w:val="both"/>
        <w:rPr>
          <w:sz w:val="20"/>
          <w:szCs w:val="20"/>
        </w:rPr>
      </w:pPr>
      <w:r w:rsidRPr="009C3CE8">
        <w:rPr>
          <w:sz w:val="20"/>
          <w:szCs w:val="20"/>
          <w:lang w:val="en-GB"/>
        </w:rPr>
        <w:t>R1-2205543</w:t>
      </w:r>
      <w:r>
        <w:rPr>
          <w:sz w:val="20"/>
          <w:szCs w:val="20"/>
          <w:lang w:val="en-GB"/>
        </w:rPr>
        <w:t xml:space="preserve">, </w:t>
      </w:r>
      <w:r w:rsidRPr="00EF1791">
        <w:rPr>
          <w:sz w:val="20"/>
          <w:szCs w:val="20"/>
        </w:rPr>
        <w:t>Moderator (</w:t>
      </w:r>
      <w:r>
        <w:rPr>
          <w:sz w:val="20"/>
          <w:szCs w:val="20"/>
        </w:rPr>
        <w:t>CMCC</w:t>
      </w:r>
      <w:r w:rsidRPr="00EF1791">
        <w:rPr>
          <w:sz w:val="20"/>
          <w:szCs w:val="20"/>
        </w:rPr>
        <w:t xml:space="preserve">), </w:t>
      </w:r>
      <w:r>
        <w:rPr>
          <w:sz w:val="20"/>
          <w:szCs w:val="20"/>
        </w:rPr>
        <w:t>“</w:t>
      </w:r>
      <w:r w:rsidRPr="009C3CE8">
        <w:rPr>
          <w:bCs/>
          <w:sz w:val="20"/>
          <w:szCs w:val="20"/>
        </w:rPr>
        <w:t>LS on interference modelling for duplex evolution</w:t>
      </w:r>
      <w:r>
        <w:rPr>
          <w:sz w:val="20"/>
          <w:szCs w:val="20"/>
        </w:rPr>
        <w:t>”</w:t>
      </w:r>
      <w:r w:rsidRPr="00EF1791">
        <w:rPr>
          <w:sz w:val="20"/>
          <w:szCs w:val="20"/>
          <w:lang w:val="en-GB"/>
        </w:rPr>
        <w:t xml:space="preserve">, </w:t>
      </w:r>
      <w:r>
        <w:rPr>
          <w:sz w:val="20"/>
          <w:szCs w:val="20"/>
          <w:lang w:val="en-GB"/>
        </w:rPr>
        <w:t>May</w:t>
      </w:r>
      <w:r w:rsidRPr="00EF1791">
        <w:rPr>
          <w:sz w:val="20"/>
          <w:szCs w:val="20"/>
          <w:lang w:val="en-GB"/>
        </w:rPr>
        <w:t xml:space="preserve"> </w:t>
      </w:r>
      <w:r>
        <w:rPr>
          <w:sz w:val="20"/>
          <w:szCs w:val="20"/>
          <w:lang w:val="en-GB"/>
        </w:rPr>
        <w:t>2022</w:t>
      </w:r>
    </w:p>
    <w:p w14:paraId="37FD36C9" w14:textId="32360115" w:rsidR="00B33508" w:rsidRPr="008E0B6D" w:rsidRDefault="00F76036" w:rsidP="00EF1791">
      <w:pPr>
        <w:widowControl w:val="0"/>
        <w:numPr>
          <w:ilvl w:val="0"/>
          <w:numId w:val="14"/>
        </w:numPr>
        <w:jc w:val="both"/>
        <w:rPr>
          <w:sz w:val="20"/>
          <w:szCs w:val="20"/>
        </w:rPr>
      </w:pPr>
      <w:r w:rsidRPr="00F76036">
        <w:rPr>
          <w:sz w:val="20"/>
          <w:szCs w:val="20"/>
        </w:rPr>
        <w:t>R1-2303483</w:t>
      </w:r>
      <w:r w:rsidR="00B33508">
        <w:rPr>
          <w:sz w:val="20"/>
          <w:szCs w:val="20"/>
        </w:rPr>
        <w:t>,</w:t>
      </w:r>
      <w:r w:rsidR="00B33508" w:rsidRPr="00B33508">
        <w:rPr>
          <w:sz w:val="20"/>
          <w:szCs w:val="20"/>
        </w:rPr>
        <w:t xml:space="preserve"> </w:t>
      </w:r>
      <w:r w:rsidR="00B33508">
        <w:rPr>
          <w:sz w:val="20"/>
          <w:szCs w:val="20"/>
        </w:rPr>
        <w:t>“</w:t>
      </w:r>
      <w:r w:rsidRPr="00F76036">
        <w:rPr>
          <w:sz w:val="20"/>
          <w:szCs w:val="20"/>
        </w:rPr>
        <w:t>Views on potential enhancements on dynamic TDD</w:t>
      </w:r>
      <w:r w:rsidR="00B33508">
        <w:rPr>
          <w:sz w:val="20"/>
          <w:szCs w:val="20"/>
        </w:rPr>
        <w:t>”, Apple, April 2023</w:t>
      </w:r>
    </w:p>
    <w:p w14:paraId="606268A1" w14:textId="6178CDEA" w:rsidR="008E0B6D" w:rsidRPr="008E0B6D" w:rsidRDefault="008E0B6D" w:rsidP="008E0B6D">
      <w:pPr>
        <w:widowControl w:val="0"/>
        <w:numPr>
          <w:ilvl w:val="0"/>
          <w:numId w:val="14"/>
        </w:numPr>
        <w:jc w:val="both"/>
        <w:rPr>
          <w:sz w:val="20"/>
          <w:szCs w:val="20"/>
        </w:rPr>
      </w:pPr>
      <w:r>
        <w:rPr>
          <w:sz w:val="20"/>
          <w:szCs w:val="20"/>
        </w:rPr>
        <w:t xml:space="preserve">TR 38.828, </w:t>
      </w:r>
      <w:r w:rsidRPr="008E0B6D">
        <w:rPr>
          <w:sz w:val="20"/>
          <w:szCs w:val="20"/>
        </w:rPr>
        <w:t>Cross Link Interference (CLI) handling and</w:t>
      </w:r>
      <w:r>
        <w:rPr>
          <w:sz w:val="20"/>
          <w:szCs w:val="20"/>
        </w:rPr>
        <w:t xml:space="preserve"> </w:t>
      </w:r>
      <w:r w:rsidRPr="008E0B6D">
        <w:rPr>
          <w:sz w:val="20"/>
          <w:szCs w:val="20"/>
        </w:rPr>
        <w:t>Remote Interference Management (RIM) for NR;</w:t>
      </w:r>
      <w:r>
        <w:rPr>
          <w:sz w:val="20"/>
          <w:szCs w:val="20"/>
        </w:rPr>
        <w:t xml:space="preserve"> </w:t>
      </w:r>
      <w:r w:rsidRPr="008E0B6D">
        <w:rPr>
          <w:sz w:val="20"/>
          <w:szCs w:val="20"/>
        </w:rPr>
        <w:t>(Release 16)</w:t>
      </w:r>
    </w:p>
    <w:p w14:paraId="7E75D07E" w14:textId="27F15A03" w:rsidR="00CA3110" w:rsidRPr="00CA3110" w:rsidRDefault="00CA3110" w:rsidP="00CA3110">
      <w:pPr>
        <w:widowControl w:val="0"/>
        <w:numPr>
          <w:ilvl w:val="0"/>
          <w:numId w:val="14"/>
        </w:numPr>
        <w:jc w:val="both"/>
        <w:rPr>
          <w:sz w:val="20"/>
          <w:szCs w:val="20"/>
        </w:rPr>
      </w:pPr>
      <w:r>
        <w:rPr>
          <w:sz w:val="20"/>
          <w:szCs w:val="20"/>
        </w:rPr>
        <w:t xml:space="preserve">TR 38.308, </w:t>
      </w:r>
      <w:r w:rsidRPr="00CA3110">
        <w:rPr>
          <w:sz w:val="20"/>
          <w:szCs w:val="20"/>
        </w:rPr>
        <w:t>Study on new radio access technology:</w:t>
      </w:r>
      <w:r>
        <w:rPr>
          <w:sz w:val="20"/>
          <w:szCs w:val="20"/>
        </w:rPr>
        <w:t xml:space="preserve"> </w:t>
      </w:r>
      <w:r w:rsidRPr="00CA3110">
        <w:rPr>
          <w:sz w:val="20"/>
          <w:szCs w:val="20"/>
        </w:rPr>
        <w:t>Radio Frequency (RF) and co-existence aspects</w:t>
      </w:r>
      <w:r>
        <w:rPr>
          <w:sz w:val="20"/>
          <w:szCs w:val="20"/>
        </w:rPr>
        <w:t xml:space="preserve"> </w:t>
      </w:r>
      <w:r w:rsidRPr="00CA3110">
        <w:rPr>
          <w:sz w:val="20"/>
          <w:szCs w:val="20"/>
        </w:rPr>
        <w:t>(Release14)</w:t>
      </w:r>
    </w:p>
    <w:p w14:paraId="361957BB" w14:textId="77777777" w:rsidR="00EF1791" w:rsidRPr="00CA3110" w:rsidRDefault="00EF1791" w:rsidP="00CA3110">
      <w:pPr>
        <w:widowControl w:val="0"/>
        <w:ind w:left="420"/>
        <w:jc w:val="both"/>
        <w:rPr>
          <w:sz w:val="20"/>
          <w:szCs w:val="20"/>
        </w:rPr>
      </w:pPr>
    </w:p>
    <w:p w14:paraId="6FFF516C" w14:textId="5B51B294" w:rsidR="004A7A40" w:rsidRPr="004A7A40" w:rsidRDefault="004A7A40" w:rsidP="004A7A40">
      <w:pPr>
        <w:pStyle w:val="Heading1"/>
      </w:pPr>
      <w:r>
        <w:t>Appendix</w:t>
      </w:r>
    </w:p>
    <w:p w14:paraId="7AA09651" w14:textId="77777777" w:rsidR="00E344A2" w:rsidRDefault="00E344A2" w:rsidP="004A7A40">
      <w:pPr>
        <w:pStyle w:val="TH"/>
      </w:pPr>
    </w:p>
    <w:p w14:paraId="688551D9" w14:textId="303540BC" w:rsidR="00E344A2" w:rsidRPr="00E344A2" w:rsidRDefault="00817536" w:rsidP="00E344A2">
      <w:pPr>
        <w:pStyle w:val="TH"/>
        <w:rPr>
          <w:lang w:val="en-US"/>
        </w:rPr>
      </w:pPr>
      <w:r>
        <w:rPr>
          <w:lang w:val="en-US"/>
        </w:rPr>
        <w:t xml:space="preserve">Table 1. </w:t>
      </w:r>
      <w:r w:rsidR="00E344A2">
        <w:rPr>
          <w:lang w:val="en-US"/>
        </w:rPr>
        <w:t>System</w:t>
      </w:r>
      <w:r w:rsidR="00E344A2" w:rsidRPr="007849B1">
        <w:t xml:space="preserve"> layout</w:t>
      </w:r>
      <w:r w:rsidR="00E344A2" w:rsidRPr="007849B1">
        <w:rPr>
          <w:rFonts w:hint="eastAsia"/>
          <w:lang w:eastAsia="ja-JP"/>
        </w:rPr>
        <w:t xml:space="preserve"> for indoor</w:t>
      </w:r>
      <w:r w:rsidR="00E344A2">
        <w:rPr>
          <w:lang w:val="en-US" w:eastAsia="ja-JP"/>
        </w:rPr>
        <w:t xml:space="preserve"> (from [3, </w:t>
      </w:r>
      <w:r w:rsidR="00E344A2" w:rsidRPr="007849B1">
        <w:t xml:space="preserve">Table </w:t>
      </w:r>
      <w:r w:rsidR="00E344A2" w:rsidRPr="007849B1">
        <w:rPr>
          <w:rFonts w:hint="eastAsia"/>
          <w:lang w:eastAsia="ja-JP"/>
        </w:rPr>
        <w:t>5</w:t>
      </w:r>
      <w:r w:rsidR="00E344A2" w:rsidRPr="007849B1">
        <w:t>.</w:t>
      </w:r>
      <w:r w:rsidR="00E344A2" w:rsidRPr="007849B1">
        <w:rPr>
          <w:rFonts w:hint="eastAsia"/>
          <w:lang w:eastAsia="ja-JP"/>
        </w:rPr>
        <w:t>2.1.3-</w:t>
      </w:r>
      <w:r w:rsidR="00E344A2" w:rsidRPr="007849B1">
        <w:t>1</w:t>
      </w:r>
      <w:r w:rsidR="00E344A2">
        <w:rPr>
          <w:lang w:val="en-US"/>
        </w:rPr>
        <w:t xml:space="preserve">] with some </w:t>
      </w:r>
      <w:r w:rsidR="00E344A2" w:rsidRPr="00E344A2">
        <w:rPr>
          <w:i/>
          <w:iCs/>
          <w:lang w:val="en-US"/>
        </w:rPr>
        <w:t>modifications</w:t>
      </w:r>
      <w:r w:rsidR="00E344A2">
        <w:rPr>
          <w:lang w:val="en-US"/>
        </w:rPr>
        <w:t>)</w:t>
      </w:r>
    </w:p>
    <w:tbl>
      <w:tblPr>
        <w:tblW w:w="6893" w:type="dxa"/>
        <w:jc w:val="center"/>
        <w:tblCellMar>
          <w:left w:w="0" w:type="dxa"/>
          <w:right w:w="0" w:type="dxa"/>
        </w:tblCellMar>
        <w:tblLook w:val="01E0" w:firstRow="1" w:lastRow="1" w:firstColumn="1" w:lastColumn="1" w:noHBand="0" w:noVBand="0"/>
      </w:tblPr>
      <w:tblGrid>
        <w:gridCol w:w="1603"/>
        <w:gridCol w:w="2505"/>
        <w:gridCol w:w="2785"/>
      </w:tblGrid>
      <w:tr w:rsidR="00E344A2" w:rsidRPr="007849B1" w14:paraId="6856F3F8"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A1D6C2" w14:textId="77777777" w:rsidR="00E344A2" w:rsidRPr="007849B1" w:rsidRDefault="00E344A2" w:rsidP="009F5C9D">
            <w:pPr>
              <w:pStyle w:val="TAH"/>
              <w:rPr>
                <w:rFonts w:eastAsia="MS PGothic" w:cs="Arial"/>
                <w:lang w:val="en-US" w:eastAsia="ja-JP"/>
              </w:rPr>
            </w:pPr>
            <w:r w:rsidRPr="007849B1">
              <w:rPr>
                <w:kern w:val="24"/>
                <w:lang w:eastAsia="ja-JP"/>
              </w:rPr>
              <w:t>Parameters</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B8C405" w14:textId="77777777" w:rsidR="00E344A2" w:rsidRPr="007849B1" w:rsidRDefault="00E344A2" w:rsidP="009F5C9D">
            <w:pPr>
              <w:pStyle w:val="TAH"/>
              <w:rPr>
                <w:rFonts w:eastAsia="MS PGothic" w:cs="Arial"/>
                <w:lang w:val="en-US" w:eastAsia="ja-JP"/>
              </w:rPr>
            </w:pPr>
            <w:r w:rsidRPr="007849B1">
              <w:rPr>
                <w:kern w:val="24"/>
                <w:lang w:eastAsia="ja-JP"/>
              </w:rPr>
              <w:t>Values</w:t>
            </w:r>
          </w:p>
        </w:tc>
      </w:tr>
      <w:tr w:rsidR="00E344A2" w:rsidRPr="007849B1" w14:paraId="3D25AEE0"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DA4CBB" w14:textId="77777777" w:rsidR="00E344A2" w:rsidRPr="007849B1" w:rsidRDefault="00E344A2" w:rsidP="009F5C9D">
            <w:pPr>
              <w:pStyle w:val="TAC"/>
              <w:rPr>
                <w:rFonts w:eastAsia="MS PGothic" w:cs="Arial"/>
                <w:lang w:val="en-US" w:eastAsia="ja-JP"/>
              </w:rPr>
            </w:pPr>
            <w:r w:rsidRPr="007849B1">
              <w:rPr>
                <w:kern w:val="24"/>
                <w:lang w:eastAsia="ja-JP"/>
              </w:rPr>
              <w:t>Network layout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BE8164" w14:textId="4690E47E" w:rsidR="00E344A2" w:rsidRPr="00E344A2" w:rsidRDefault="00E344A2" w:rsidP="009F5C9D">
            <w:pPr>
              <w:pStyle w:val="TAC"/>
              <w:rPr>
                <w:rFonts w:eastAsia="MS PGothic" w:cs="Arial"/>
                <w:i/>
                <w:iCs/>
                <w:lang w:val="en-US" w:eastAsia="ja-JP"/>
              </w:rPr>
            </w:pPr>
            <w:r w:rsidRPr="00E344A2">
              <w:rPr>
                <w:i/>
                <w:iCs/>
                <w:lang w:eastAsia="ja-JP"/>
              </w:rPr>
              <w:t>2 BS, 2 UEs</w:t>
            </w:r>
          </w:p>
        </w:tc>
      </w:tr>
      <w:tr w:rsidR="00E344A2" w:rsidRPr="007849B1" w14:paraId="53BCCFFA"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B2A974" w14:textId="77777777" w:rsidR="00E344A2" w:rsidRPr="007849B1" w:rsidRDefault="00E344A2" w:rsidP="009F5C9D">
            <w:pPr>
              <w:pStyle w:val="TAC"/>
              <w:rPr>
                <w:rFonts w:eastAsia="MS PGothic" w:cs="Arial"/>
                <w:lang w:val="en-US" w:eastAsia="ja-JP"/>
              </w:rPr>
            </w:pPr>
            <w:r w:rsidRPr="007849B1">
              <w:rPr>
                <w:kern w:val="24"/>
                <w:lang w:eastAsia="ja-JP"/>
              </w:rPr>
              <w:t>Inter-site distance</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1BBE6E" w14:textId="77777777" w:rsidR="00E344A2" w:rsidRPr="007849B1" w:rsidRDefault="00E344A2" w:rsidP="009F5C9D">
            <w:pPr>
              <w:pStyle w:val="TAC"/>
              <w:rPr>
                <w:rFonts w:eastAsia="MS PGothic" w:cs="Arial"/>
                <w:lang w:val="en-US" w:eastAsia="ja-JP"/>
              </w:rPr>
            </w:pPr>
            <w:r w:rsidRPr="007849B1">
              <w:rPr>
                <w:kern w:val="24"/>
                <w:lang w:eastAsia="ja-JP"/>
              </w:rPr>
              <w:t>20m</w:t>
            </w:r>
          </w:p>
        </w:tc>
      </w:tr>
      <w:tr w:rsidR="00E344A2" w:rsidRPr="007849B1" w14:paraId="572C4DDD"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839858" w14:textId="77777777" w:rsidR="00E344A2" w:rsidRPr="007849B1" w:rsidRDefault="00E344A2" w:rsidP="009F5C9D">
            <w:pPr>
              <w:pStyle w:val="TAC"/>
              <w:rPr>
                <w:rFonts w:eastAsia="MS PGothic" w:cs="Arial"/>
                <w:lang w:val="en-US" w:eastAsia="ja-JP"/>
              </w:rPr>
            </w:pPr>
            <w:r w:rsidRPr="007849B1">
              <w:rPr>
                <w:kern w:val="24"/>
                <w:lang w:eastAsia="ja-JP"/>
              </w:rPr>
              <w:t>BS antenna height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781860" w14:textId="77777777" w:rsidR="00E344A2" w:rsidRPr="007849B1" w:rsidRDefault="00E344A2" w:rsidP="009F5C9D">
            <w:pPr>
              <w:pStyle w:val="TAC"/>
              <w:rPr>
                <w:rFonts w:eastAsia="MS PGothic" w:cs="Arial"/>
                <w:lang w:val="en-US" w:eastAsia="ja-JP"/>
              </w:rPr>
            </w:pPr>
            <w:r w:rsidRPr="007849B1">
              <w:rPr>
                <w:kern w:val="24"/>
                <w:lang w:eastAsia="ja-JP"/>
              </w:rPr>
              <w:t>3 m</w:t>
            </w:r>
          </w:p>
        </w:tc>
      </w:tr>
      <w:tr w:rsidR="00E344A2" w:rsidRPr="007849B1" w14:paraId="65BFE9E8" w14:textId="77777777" w:rsidTr="00E344A2">
        <w:trPr>
          <w:jc w:val="center"/>
        </w:trPr>
        <w:tc>
          <w:tcPr>
            <w:tcW w:w="160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B3FC83" w14:textId="77777777" w:rsidR="00E344A2" w:rsidRPr="007849B1" w:rsidRDefault="00E344A2" w:rsidP="009F5C9D">
            <w:pPr>
              <w:pStyle w:val="TAC"/>
              <w:rPr>
                <w:rFonts w:eastAsia="MS PGothic" w:cs="Arial"/>
                <w:lang w:val="en-US" w:eastAsia="ja-JP"/>
              </w:rPr>
            </w:pPr>
            <w:r w:rsidRPr="007849B1">
              <w:rPr>
                <w:kern w:val="24"/>
                <w:lang w:eastAsia="ja-JP"/>
              </w:rPr>
              <w:t>UE location</w:t>
            </w: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EB16A3" w14:textId="77777777" w:rsidR="00E344A2" w:rsidRPr="007849B1" w:rsidRDefault="00E344A2" w:rsidP="009F5C9D">
            <w:pPr>
              <w:pStyle w:val="TAC"/>
              <w:rPr>
                <w:rFonts w:eastAsia="MS PGothic" w:cs="Arial"/>
                <w:lang w:val="en-US" w:eastAsia="ja-JP"/>
              </w:rPr>
            </w:pPr>
            <w:r w:rsidRPr="007849B1">
              <w:rPr>
                <w:kern w:val="24"/>
                <w:lang w:eastAsia="ja-JP"/>
              </w:rPr>
              <w:t>Outdoor/indoor</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D05E62" w14:textId="77777777" w:rsidR="00E344A2" w:rsidRPr="007849B1" w:rsidRDefault="00E344A2" w:rsidP="009F5C9D">
            <w:pPr>
              <w:pStyle w:val="TAC"/>
              <w:rPr>
                <w:rFonts w:eastAsia="MS PGothic" w:cs="Arial"/>
                <w:lang w:val="en-US" w:eastAsia="ja-JP"/>
              </w:rPr>
            </w:pPr>
            <w:r w:rsidRPr="007849B1">
              <w:rPr>
                <w:kern w:val="24"/>
                <w:lang w:eastAsia="ja-JP"/>
              </w:rPr>
              <w:t>Indoor</w:t>
            </w:r>
          </w:p>
        </w:tc>
      </w:tr>
      <w:tr w:rsidR="00E344A2" w:rsidRPr="007849B1" w14:paraId="710779A3" w14:textId="77777777" w:rsidTr="00E344A2">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E7D6969" w14:textId="77777777" w:rsidR="00E344A2" w:rsidRPr="007849B1" w:rsidRDefault="00E344A2" w:rsidP="009F5C9D">
            <w:pPr>
              <w:pStyle w:val="TAC"/>
              <w:rPr>
                <w:rFonts w:eastAsia="MS PGothic" w:cs="Arial"/>
                <w:lang w:val="en-US"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41ABD8" w14:textId="77777777" w:rsidR="00E344A2" w:rsidRPr="007849B1" w:rsidRDefault="00E344A2" w:rsidP="009F5C9D">
            <w:pPr>
              <w:pStyle w:val="TAC"/>
              <w:rPr>
                <w:rFonts w:eastAsia="MS PGothic" w:cs="Arial"/>
                <w:lang w:val="en-US" w:eastAsia="ja-JP"/>
              </w:rPr>
            </w:pPr>
            <w:r w:rsidRPr="007849B1">
              <w:rPr>
                <w:kern w:val="24"/>
                <w:lang w:eastAsia="ja-JP"/>
              </w:rPr>
              <w:t>LOS/NLOS</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6A8157" w14:textId="49CD0B12" w:rsidR="00E344A2" w:rsidRPr="00E344A2" w:rsidRDefault="009B0E3C" w:rsidP="009F5C9D">
            <w:pPr>
              <w:pStyle w:val="TAC"/>
              <w:rPr>
                <w:rFonts w:eastAsia="MS PGothic" w:cs="Arial"/>
                <w:i/>
                <w:iCs/>
                <w:lang w:val="en-US" w:eastAsia="ja-JP"/>
              </w:rPr>
            </w:pPr>
            <w:r>
              <w:rPr>
                <w:i/>
                <w:iCs/>
                <w:kern w:val="24"/>
                <w:lang w:eastAsia="ja-JP"/>
              </w:rPr>
              <w:t>See the description</w:t>
            </w:r>
          </w:p>
        </w:tc>
      </w:tr>
      <w:tr w:rsidR="00E344A2" w:rsidRPr="007849B1" w14:paraId="24738D10" w14:textId="77777777" w:rsidTr="00E344A2">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6D249C4" w14:textId="77777777" w:rsidR="00E344A2" w:rsidRPr="007849B1" w:rsidRDefault="00E344A2" w:rsidP="009F5C9D">
            <w:pPr>
              <w:pStyle w:val="TAC"/>
              <w:rPr>
                <w:rFonts w:eastAsia="MS PGothic" w:cs="Arial"/>
                <w:lang w:val="en-US"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64BF3F" w14:textId="77777777" w:rsidR="00E344A2" w:rsidRPr="007849B1" w:rsidRDefault="00E344A2" w:rsidP="009F5C9D">
            <w:pPr>
              <w:pStyle w:val="TAC"/>
              <w:rPr>
                <w:rFonts w:eastAsia="MS PGothic" w:cs="Arial"/>
                <w:lang w:val="en-US" w:eastAsia="ja-JP"/>
              </w:rPr>
            </w:pPr>
            <w:r w:rsidRPr="007849B1">
              <w:rPr>
                <w:kern w:val="24"/>
                <w:lang w:eastAsia="ja-JP"/>
              </w:rPr>
              <w:t>UE antenna height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097B9A" w14:textId="77777777" w:rsidR="00E344A2" w:rsidRPr="007849B1" w:rsidRDefault="00E344A2" w:rsidP="009F5C9D">
            <w:pPr>
              <w:pStyle w:val="TAC"/>
              <w:rPr>
                <w:rFonts w:eastAsia="MS PGothic" w:cs="Arial"/>
                <w:lang w:val="en-US" w:eastAsia="ja-JP"/>
              </w:rPr>
            </w:pPr>
            <w:r w:rsidRPr="007849B1">
              <w:rPr>
                <w:kern w:val="24"/>
                <w:lang w:eastAsia="ja-JP"/>
              </w:rPr>
              <w:t>1 m</w:t>
            </w:r>
          </w:p>
        </w:tc>
      </w:tr>
      <w:tr w:rsidR="00E344A2" w:rsidRPr="007849B1" w14:paraId="6E59B7D1"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F75894" w14:textId="77777777" w:rsidR="00E344A2" w:rsidRPr="007849B1" w:rsidRDefault="00E344A2" w:rsidP="009F5C9D">
            <w:pPr>
              <w:pStyle w:val="TAC"/>
              <w:rPr>
                <w:rFonts w:eastAsia="MS PGothic" w:cs="Arial"/>
                <w:lang w:val="en-US" w:eastAsia="ja-JP"/>
              </w:rPr>
            </w:pPr>
            <w:r w:rsidRPr="007849B1">
              <w:rPr>
                <w:kern w:val="24"/>
                <w:lang w:eastAsia="ja-JP"/>
              </w:rPr>
              <w:t>UE distribution (horizontal)</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0E27B1" w14:textId="7948CFB1" w:rsidR="00E344A2" w:rsidRPr="00E344A2" w:rsidRDefault="00E344A2" w:rsidP="009F5C9D">
            <w:pPr>
              <w:pStyle w:val="TAC"/>
              <w:rPr>
                <w:rFonts w:eastAsia="MS PGothic" w:cs="Arial"/>
                <w:i/>
                <w:iCs/>
                <w:lang w:val="en-US" w:eastAsia="ja-JP"/>
              </w:rPr>
            </w:pPr>
            <w:r w:rsidRPr="00E344A2">
              <w:rPr>
                <w:i/>
                <w:iCs/>
                <w:kern w:val="24"/>
                <w:lang w:eastAsia="ja-JP"/>
              </w:rPr>
              <w:t>See the description</w:t>
            </w:r>
          </w:p>
        </w:tc>
      </w:tr>
      <w:tr w:rsidR="00E344A2" w:rsidRPr="007849B1" w14:paraId="516F2834"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EDC20B" w14:textId="77777777" w:rsidR="00E344A2" w:rsidRPr="007849B1" w:rsidRDefault="00E344A2" w:rsidP="009F5C9D">
            <w:pPr>
              <w:pStyle w:val="TAC"/>
              <w:rPr>
                <w:rFonts w:eastAsia="MS PGothic" w:cs="Arial"/>
                <w:lang w:val="en-US" w:eastAsia="ja-JP"/>
              </w:rPr>
            </w:pPr>
            <w:r w:rsidRPr="007849B1">
              <w:rPr>
                <w:kern w:val="24"/>
                <w:lang w:eastAsia="ja-JP"/>
              </w:rPr>
              <w:t>Minimum BS - UE distance (2D)</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39CFDF" w14:textId="77777777" w:rsidR="00E344A2" w:rsidRPr="007849B1" w:rsidRDefault="00E344A2" w:rsidP="009F5C9D">
            <w:pPr>
              <w:pStyle w:val="TAC"/>
              <w:rPr>
                <w:rFonts w:eastAsia="MS PGothic" w:cs="Arial"/>
                <w:lang w:val="en-US" w:eastAsia="ja-JP"/>
              </w:rPr>
            </w:pPr>
            <w:r w:rsidRPr="007849B1">
              <w:rPr>
                <w:kern w:val="24"/>
                <w:lang w:eastAsia="ja-JP"/>
              </w:rPr>
              <w:t>0 m</w:t>
            </w:r>
          </w:p>
        </w:tc>
      </w:tr>
      <w:tr w:rsidR="00E344A2" w:rsidRPr="007849B1" w14:paraId="62C7154C"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663366" w14:textId="77777777" w:rsidR="00E344A2" w:rsidRPr="007849B1" w:rsidRDefault="00E344A2" w:rsidP="009F5C9D">
            <w:pPr>
              <w:pStyle w:val="TAC"/>
              <w:rPr>
                <w:rFonts w:eastAsia="MS PGothic" w:cs="Arial"/>
                <w:lang w:val="en-US" w:eastAsia="ja-JP"/>
              </w:rPr>
            </w:pPr>
            <w:r w:rsidRPr="007849B1">
              <w:rPr>
                <w:kern w:val="24"/>
                <w:lang w:eastAsia="ja-JP"/>
              </w:rPr>
              <w:t>Channel model</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CEA818" w14:textId="77777777" w:rsidR="00E344A2" w:rsidRPr="007849B1" w:rsidRDefault="00E344A2" w:rsidP="009F5C9D">
            <w:pPr>
              <w:pStyle w:val="TAC"/>
              <w:rPr>
                <w:rFonts w:eastAsia="MS PGothic" w:cs="Arial"/>
                <w:lang w:val="en-US" w:eastAsia="ja-JP"/>
              </w:rPr>
            </w:pPr>
            <w:r w:rsidRPr="007849B1">
              <w:rPr>
                <w:kern w:val="24"/>
                <w:lang w:eastAsia="ja-JP"/>
              </w:rPr>
              <w:t>Indoor Office</w:t>
            </w:r>
          </w:p>
        </w:tc>
      </w:tr>
      <w:tr w:rsidR="00E344A2" w:rsidRPr="007849B1" w14:paraId="4312ABE7"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88F036" w14:textId="77777777" w:rsidR="00E344A2" w:rsidRPr="007849B1" w:rsidRDefault="00E344A2" w:rsidP="009F5C9D">
            <w:pPr>
              <w:pStyle w:val="TAC"/>
              <w:rPr>
                <w:rFonts w:eastAsia="MS PGothic" w:cs="Arial"/>
                <w:lang w:val="en-US" w:eastAsia="ja-JP"/>
              </w:rPr>
            </w:pPr>
            <w:r w:rsidRPr="007849B1">
              <w:rPr>
                <w:kern w:val="24"/>
                <w:lang w:eastAsia="ja-JP"/>
              </w:rPr>
              <w:t>Shadowing correlation</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73F4CD" w14:textId="77777777" w:rsidR="00E344A2" w:rsidRPr="007849B1" w:rsidRDefault="00E344A2" w:rsidP="009F5C9D">
            <w:pPr>
              <w:pStyle w:val="TAC"/>
              <w:rPr>
                <w:rFonts w:eastAsia="MS PGothic" w:cs="Arial"/>
                <w:lang w:val="en-US" w:eastAsia="ja-JP"/>
              </w:rPr>
            </w:pPr>
            <w:r w:rsidRPr="007849B1">
              <w:rPr>
                <w:kern w:val="24"/>
                <w:lang w:eastAsia="ja-JP"/>
              </w:rPr>
              <w:t>NA</w:t>
            </w:r>
          </w:p>
        </w:tc>
      </w:tr>
    </w:tbl>
    <w:p w14:paraId="3E59921D" w14:textId="77777777" w:rsidR="00E344A2" w:rsidRPr="007849B1" w:rsidRDefault="00E344A2" w:rsidP="00E344A2">
      <w:pPr>
        <w:rPr>
          <w:lang w:eastAsia="ja-JP"/>
        </w:rPr>
      </w:pPr>
    </w:p>
    <w:p w14:paraId="6D9782E4" w14:textId="77777777" w:rsidR="00E344A2" w:rsidRDefault="00E344A2" w:rsidP="004A7A40">
      <w:pPr>
        <w:pStyle w:val="TH"/>
      </w:pPr>
    </w:p>
    <w:p w14:paraId="0A9DD56E" w14:textId="34CD7122" w:rsidR="004A7A40" w:rsidRPr="004A7A40" w:rsidRDefault="00817536" w:rsidP="004A7A40">
      <w:pPr>
        <w:pStyle w:val="TH"/>
        <w:rPr>
          <w:lang w:val="en-US"/>
        </w:rPr>
      </w:pPr>
      <w:r>
        <w:rPr>
          <w:lang w:val="en-US"/>
        </w:rPr>
        <w:t xml:space="preserve">Table 2. </w:t>
      </w:r>
      <w:r w:rsidR="004A7A40" w:rsidRPr="007849B1">
        <w:t>Pathloss model</w:t>
      </w:r>
      <w:r w:rsidR="004A7A40">
        <w:rPr>
          <w:lang w:val="en-US"/>
        </w:rPr>
        <w:t xml:space="preserve"> (from [3], </w:t>
      </w:r>
      <w:r w:rsidR="004A7A40" w:rsidRPr="007849B1">
        <w:t>Table 5.2.2.</w:t>
      </w:r>
      <w:r w:rsidR="004A7A40" w:rsidRPr="007849B1">
        <w:rPr>
          <w:rFonts w:hint="eastAsia"/>
          <w:lang w:eastAsia="ja-JP"/>
        </w:rPr>
        <w:t>1</w:t>
      </w:r>
      <w:r w:rsidR="004A7A40" w:rsidRPr="007849B1">
        <w:t>-1</w:t>
      </w:r>
      <w:r w:rsidR="004A7A40">
        <w:rPr>
          <w:lang w:val="en-US"/>
        </w:rPr>
        <w:t>)</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5556"/>
        <w:gridCol w:w="1184"/>
        <w:gridCol w:w="2023"/>
      </w:tblGrid>
      <w:tr w:rsidR="004A7A40" w:rsidRPr="007849B1" w14:paraId="3EFBCC55" w14:textId="77777777" w:rsidTr="009F5C9D">
        <w:trPr>
          <w:cantSplit/>
          <w:jc w:val="center"/>
        </w:trPr>
        <w:tc>
          <w:tcPr>
            <w:tcW w:w="0" w:type="auto"/>
            <w:shd w:val="clear" w:color="auto" w:fill="E0E0E0"/>
            <w:vAlign w:val="center"/>
          </w:tcPr>
          <w:p w14:paraId="641190A9" w14:textId="77777777" w:rsidR="004A7A40" w:rsidRPr="007849B1" w:rsidRDefault="004A7A40" w:rsidP="009F5C9D">
            <w:pPr>
              <w:pStyle w:val="TAH"/>
            </w:pPr>
            <w:r w:rsidRPr="007849B1">
              <w:t>Scenario</w:t>
            </w:r>
          </w:p>
        </w:tc>
        <w:tc>
          <w:tcPr>
            <w:tcW w:w="5556" w:type="dxa"/>
            <w:shd w:val="clear" w:color="auto" w:fill="E0E0E0"/>
            <w:vAlign w:val="center"/>
          </w:tcPr>
          <w:p w14:paraId="10E789F9" w14:textId="77777777" w:rsidR="004A7A40" w:rsidRPr="007849B1" w:rsidRDefault="004A7A40" w:rsidP="009F5C9D">
            <w:pPr>
              <w:pStyle w:val="TAH"/>
              <w:rPr>
                <w:lang w:eastAsia="ko-KR"/>
              </w:rPr>
            </w:pPr>
            <w:r w:rsidRPr="007849B1">
              <w:t xml:space="preserve">Pathloss [dB], </w:t>
            </w:r>
            <w:r w:rsidRPr="007849B1">
              <w:rPr>
                <w:i/>
              </w:rPr>
              <w:t>f</w:t>
            </w:r>
            <w:r w:rsidRPr="007849B1">
              <w:rPr>
                <w:rFonts w:hint="eastAsia"/>
                <w:i/>
                <w:vertAlign w:val="subscript"/>
                <w:lang w:eastAsia="ko-KR"/>
              </w:rPr>
              <w:t>c</w:t>
            </w:r>
            <w:r w:rsidRPr="007849B1">
              <w:t xml:space="preserve"> is in GHz and </w:t>
            </w:r>
            <w:r w:rsidRPr="007849B1">
              <w:rPr>
                <w:i/>
                <w:lang w:eastAsia="ko-KR"/>
              </w:rPr>
              <w:t>d</w:t>
            </w:r>
            <w:r w:rsidRPr="007849B1">
              <w:t xml:space="preserve"> is in meters</w:t>
            </w:r>
            <w:r w:rsidRPr="007849B1">
              <w:rPr>
                <w:rFonts w:hint="eastAsia"/>
                <w:lang w:eastAsia="ko-KR"/>
              </w:rPr>
              <w:t xml:space="preserve"> </w:t>
            </w:r>
            <w:r w:rsidRPr="007849B1">
              <w:rPr>
                <w:rFonts w:hint="eastAsia"/>
                <w:vertAlign w:val="superscript"/>
                <w:lang w:eastAsia="ko-KR"/>
              </w:rPr>
              <w:t>(6)</w:t>
            </w:r>
          </w:p>
        </w:tc>
        <w:tc>
          <w:tcPr>
            <w:tcW w:w="1184" w:type="dxa"/>
            <w:shd w:val="clear" w:color="auto" w:fill="E0E0E0"/>
            <w:vAlign w:val="center"/>
          </w:tcPr>
          <w:p w14:paraId="1DA4E27C" w14:textId="77777777" w:rsidR="004A7A40" w:rsidRPr="007849B1" w:rsidRDefault="004A7A40" w:rsidP="009F5C9D">
            <w:pPr>
              <w:pStyle w:val="TAH"/>
            </w:pPr>
            <w:r w:rsidRPr="007849B1">
              <w:t>Shadow</w:t>
            </w:r>
          </w:p>
          <w:p w14:paraId="59917E65" w14:textId="77777777" w:rsidR="004A7A40" w:rsidRPr="007849B1" w:rsidRDefault="004A7A40" w:rsidP="009F5C9D">
            <w:pPr>
              <w:pStyle w:val="TAH"/>
            </w:pPr>
            <w:r w:rsidRPr="007849B1">
              <w:t>fading</w:t>
            </w:r>
          </w:p>
          <w:p w14:paraId="3DAAD03E" w14:textId="77777777" w:rsidR="004A7A40" w:rsidRPr="007849B1" w:rsidRDefault="004A7A40" w:rsidP="009F5C9D">
            <w:pPr>
              <w:pStyle w:val="TAH"/>
            </w:pPr>
            <w:r w:rsidRPr="007849B1">
              <w:t>std [dB]</w:t>
            </w:r>
          </w:p>
        </w:tc>
        <w:tc>
          <w:tcPr>
            <w:tcW w:w="2023" w:type="dxa"/>
            <w:shd w:val="clear" w:color="auto" w:fill="E0E0E0"/>
            <w:vAlign w:val="center"/>
          </w:tcPr>
          <w:p w14:paraId="5D03B569" w14:textId="77777777" w:rsidR="004A7A40" w:rsidRPr="007849B1" w:rsidRDefault="004A7A40" w:rsidP="009F5C9D">
            <w:pPr>
              <w:pStyle w:val="TAH"/>
            </w:pPr>
            <w:r w:rsidRPr="007849B1">
              <w:t>Applicability range,</w:t>
            </w:r>
          </w:p>
          <w:p w14:paraId="725363A5" w14:textId="77777777" w:rsidR="004A7A40" w:rsidRPr="007849B1" w:rsidRDefault="004A7A40" w:rsidP="009F5C9D">
            <w:pPr>
              <w:pStyle w:val="TAH"/>
            </w:pPr>
            <w:r w:rsidRPr="007849B1">
              <w:t>antenna height</w:t>
            </w:r>
          </w:p>
          <w:p w14:paraId="04229D5E" w14:textId="77777777" w:rsidR="004A7A40" w:rsidRPr="007849B1" w:rsidRDefault="004A7A40" w:rsidP="009F5C9D">
            <w:pPr>
              <w:pStyle w:val="TAH"/>
            </w:pPr>
            <w:r w:rsidRPr="007849B1">
              <w:t xml:space="preserve">default values </w:t>
            </w:r>
          </w:p>
        </w:tc>
      </w:tr>
      <w:tr w:rsidR="004A7A40" w:rsidRPr="007849B1" w14:paraId="323E6B15" w14:textId="77777777" w:rsidTr="009F5C9D">
        <w:trPr>
          <w:cantSplit/>
          <w:jc w:val="center"/>
        </w:trPr>
        <w:tc>
          <w:tcPr>
            <w:tcW w:w="0" w:type="auto"/>
            <w:shd w:val="clear" w:color="auto" w:fill="FFCC99"/>
            <w:vAlign w:val="center"/>
          </w:tcPr>
          <w:p w14:paraId="625EB6B4" w14:textId="77777777" w:rsidR="004A7A40" w:rsidRPr="007849B1" w:rsidRDefault="004A7A40" w:rsidP="009F5C9D">
            <w:pPr>
              <w:pStyle w:val="TAH"/>
              <w:jc w:val="left"/>
              <w:rPr>
                <w:szCs w:val="18"/>
                <w:lang w:eastAsia="ko-KR"/>
              </w:rPr>
            </w:pPr>
            <w:r w:rsidRPr="007849B1">
              <w:rPr>
                <w:rFonts w:hint="eastAsia"/>
                <w:szCs w:val="18"/>
                <w:lang w:eastAsia="ko-KR"/>
              </w:rPr>
              <w:t>InH - Office LOS</w:t>
            </w:r>
          </w:p>
        </w:tc>
        <w:tc>
          <w:tcPr>
            <w:tcW w:w="5556" w:type="dxa"/>
            <w:vAlign w:val="center"/>
          </w:tcPr>
          <w:p w14:paraId="66941531" w14:textId="77777777" w:rsidR="004A7A40" w:rsidRPr="007849B1" w:rsidRDefault="00743A27" w:rsidP="009F5C9D">
            <w:r w:rsidRPr="007849B1">
              <w:rPr>
                <w:noProof/>
                <w:position w:val="-12"/>
              </w:rPr>
              <w:object w:dxaOrig="4180" w:dyaOrig="360" w14:anchorId="6EFFD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09.6pt;height:19.25pt;mso-width-percent:0;mso-height-percent:0;mso-width-percent:0;mso-height-percent:0" o:ole="">
                  <v:imagedata r:id="rId9" o:title=""/>
                </v:shape>
                <o:OLEObject Type="Embed" ProgID="Equation.3" ShapeID="_x0000_i1027" DrawAspect="Content" ObjectID="_1745359534" r:id="rId10"/>
              </w:object>
            </w:r>
          </w:p>
        </w:tc>
        <w:tc>
          <w:tcPr>
            <w:tcW w:w="1184" w:type="dxa"/>
            <w:vAlign w:val="center"/>
          </w:tcPr>
          <w:p w14:paraId="59FDF807" w14:textId="77777777" w:rsidR="004A7A40" w:rsidRPr="007849B1" w:rsidRDefault="004A7A40" w:rsidP="009F5C9D">
            <w:pPr>
              <w:pStyle w:val="TAL"/>
              <w:jc w:val="center"/>
              <w:rPr>
                <w:rFonts w:ascii="Times New Roman" w:hAnsi="Times New Roman"/>
                <w:i/>
                <w:szCs w:val="18"/>
              </w:rPr>
            </w:pPr>
            <w:r w:rsidRPr="007849B1">
              <w:rPr>
                <w:rFonts w:ascii="Times New Roman" w:hAnsi="Times New Roman"/>
                <w:i/>
                <w:szCs w:val="18"/>
              </w:rPr>
              <w:t>σ</w:t>
            </w:r>
            <w:r w:rsidRPr="007849B1">
              <w:rPr>
                <w:rFonts w:ascii="Times New Roman" w:hAnsi="Times New Roman"/>
                <w:i/>
                <w:szCs w:val="18"/>
                <w:vertAlign w:val="subscript"/>
              </w:rPr>
              <w:t>SF</w:t>
            </w:r>
            <w:r w:rsidRPr="007849B1">
              <w:rPr>
                <w:rFonts w:ascii="Times New Roman" w:hAnsi="Times New Roman"/>
                <w:szCs w:val="18"/>
              </w:rPr>
              <w:t>=</w:t>
            </w:r>
            <w:r w:rsidRPr="007849B1">
              <w:rPr>
                <w:rFonts w:ascii="Times New Roman" w:hAnsi="Times New Roman"/>
                <w:szCs w:val="18"/>
                <w:lang w:eastAsia="ko-KR"/>
              </w:rPr>
              <w:t>3.0</w:t>
            </w:r>
          </w:p>
        </w:tc>
        <w:tc>
          <w:tcPr>
            <w:tcW w:w="2023" w:type="dxa"/>
            <w:vAlign w:val="center"/>
          </w:tcPr>
          <w:p w14:paraId="7F210EB6" w14:textId="77777777" w:rsidR="004A7A40" w:rsidRPr="007849B1" w:rsidRDefault="004A7A40" w:rsidP="009F5C9D">
            <w:pPr>
              <w:pStyle w:val="TAL"/>
              <w:rPr>
                <w:rFonts w:ascii="Times New Roman" w:hAnsi="Times New Roman"/>
                <w:szCs w:val="18"/>
                <w:lang w:val="fr-FR" w:eastAsia="ko-KR"/>
              </w:rPr>
            </w:pPr>
            <w:r w:rsidRPr="007849B1">
              <w:rPr>
                <w:rFonts w:ascii="Times New Roman" w:hAnsi="Times New Roman" w:hint="eastAsia"/>
                <w:szCs w:val="18"/>
                <w:lang w:val="fr-FR" w:eastAsia="ko-KR"/>
              </w:rPr>
              <w:t>1</w:t>
            </w:r>
            <w:r w:rsidRPr="007849B1">
              <w:rPr>
                <w:rFonts w:ascii="Times New Roman" w:hAnsi="Times New Roman"/>
                <w:szCs w:val="18"/>
                <w:lang w:val="fr-FR" w:eastAsia="ko-KR"/>
              </w:rPr>
              <w:t>&lt;</w:t>
            </w:r>
            <w:r w:rsidRPr="007849B1">
              <w:rPr>
                <w:rFonts w:ascii="Times New Roman" w:hAnsi="Times New Roman"/>
                <w:i/>
                <w:szCs w:val="18"/>
                <w:lang w:val="fr-FR" w:eastAsia="ko-KR"/>
              </w:rPr>
              <w:t>d</w:t>
            </w:r>
            <w:r w:rsidRPr="007849B1">
              <w:rPr>
                <w:rFonts w:ascii="Times New Roman" w:hAnsi="Times New Roman"/>
                <w:szCs w:val="18"/>
                <w:vertAlign w:val="subscript"/>
                <w:lang w:val="fr-FR" w:eastAsia="ko-KR"/>
              </w:rPr>
              <w:t>3D</w:t>
            </w:r>
            <w:r w:rsidRPr="007849B1">
              <w:rPr>
                <w:rFonts w:ascii="Times New Roman" w:hAnsi="Times New Roman"/>
                <w:szCs w:val="18"/>
                <w:lang w:val="fr-FR" w:eastAsia="ko-KR"/>
              </w:rPr>
              <w:t>&lt;100</w:t>
            </w:r>
            <w:r w:rsidRPr="007849B1">
              <w:rPr>
                <w:rFonts w:ascii="Times New Roman" w:hAnsi="Times New Roman" w:hint="eastAsia"/>
                <w:szCs w:val="18"/>
                <w:lang w:val="fr-FR" w:eastAsia="ko-KR"/>
              </w:rPr>
              <w:t>m</w:t>
            </w:r>
          </w:p>
        </w:tc>
      </w:tr>
      <w:tr w:rsidR="004A7A40" w:rsidRPr="007849B1" w14:paraId="447EA1AF" w14:textId="77777777" w:rsidTr="009F5C9D">
        <w:trPr>
          <w:cantSplit/>
          <w:trHeight w:val="501"/>
          <w:jc w:val="center"/>
        </w:trPr>
        <w:tc>
          <w:tcPr>
            <w:tcW w:w="0" w:type="auto"/>
            <w:shd w:val="clear" w:color="auto" w:fill="FFCC99"/>
            <w:vAlign w:val="center"/>
          </w:tcPr>
          <w:p w14:paraId="1F9ECDFC" w14:textId="77777777" w:rsidR="004A7A40" w:rsidRPr="007849B1" w:rsidRDefault="004A7A40" w:rsidP="009F5C9D">
            <w:pPr>
              <w:pStyle w:val="TAH"/>
              <w:jc w:val="left"/>
              <w:rPr>
                <w:szCs w:val="18"/>
                <w:lang w:eastAsia="ko-KR"/>
              </w:rPr>
            </w:pPr>
            <w:r w:rsidRPr="007849B1">
              <w:rPr>
                <w:rFonts w:hint="eastAsia"/>
                <w:szCs w:val="18"/>
                <w:lang w:eastAsia="ko-KR"/>
              </w:rPr>
              <w:t xml:space="preserve">InH - Office </w:t>
            </w:r>
            <w:r w:rsidRPr="007849B1">
              <w:rPr>
                <w:szCs w:val="18"/>
                <w:lang w:eastAsia="ko-KR"/>
              </w:rPr>
              <w:t>N</w:t>
            </w:r>
            <w:r w:rsidRPr="007849B1">
              <w:rPr>
                <w:rFonts w:hint="eastAsia"/>
                <w:szCs w:val="18"/>
                <w:lang w:eastAsia="ko-KR"/>
              </w:rPr>
              <w:t>LOS</w:t>
            </w:r>
          </w:p>
        </w:tc>
        <w:tc>
          <w:tcPr>
            <w:tcW w:w="5556" w:type="dxa"/>
            <w:vAlign w:val="center"/>
          </w:tcPr>
          <w:p w14:paraId="2A510FB8" w14:textId="77777777" w:rsidR="004A7A40" w:rsidRPr="007849B1" w:rsidRDefault="00743A27" w:rsidP="009F5C9D">
            <w:pPr>
              <w:rPr>
                <w:lang w:eastAsia="ko-KR"/>
              </w:rPr>
            </w:pPr>
            <w:r w:rsidRPr="007849B1">
              <w:rPr>
                <w:noProof/>
                <w:position w:val="-12"/>
                <w:szCs w:val="18"/>
              </w:rPr>
              <w:object w:dxaOrig="3120" w:dyaOrig="360" w14:anchorId="3A27DEAE">
                <v:shape id="_x0000_i1026" type="#_x0000_t75" alt="" style="width:157.55pt;height:19.25pt;mso-width-percent:0;mso-height-percent:0;mso-width-percent:0;mso-height-percent:0" o:ole="">
                  <v:imagedata r:id="rId11" o:title=""/>
                </v:shape>
                <o:OLEObject Type="Embed" ProgID="Equation.3" ShapeID="_x0000_i1026" DrawAspect="Content" ObjectID="_1745359535" r:id="rId12"/>
              </w:object>
            </w:r>
          </w:p>
          <w:p w14:paraId="02D4D127" w14:textId="77777777" w:rsidR="004A7A40" w:rsidRPr="007849B1" w:rsidRDefault="00743A27" w:rsidP="009F5C9D">
            <w:r w:rsidRPr="007849B1">
              <w:rPr>
                <w:noProof/>
                <w:position w:val="-12"/>
              </w:rPr>
              <w:object w:dxaOrig="4920" w:dyaOrig="360" w14:anchorId="762D3294">
                <v:shape id="_x0000_i1025" type="#_x0000_t75" alt="" style="width:248.8pt;height:19.25pt;mso-width-percent:0;mso-height-percent:0;mso-width-percent:0;mso-height-percent:0" o:ole="">
                  <v:imagedata r:id="rId13" o:title=""/>
                </v:shape>
                <o:OLEObject Type="Embed" ProgID="Equation.3" ShapeID="_x0000_i1025" DrawAspect="Content" ObjectID="_1745359536" r:id="rId14"/>
              </w:object>
            </w:r>
          </w:p>
        </w:tc>
        <w:tc>
          <w:tcPr>
            <w:tcW w:w="1184" w:type="dxa"/>
            <w:vAlign w:val="center"/>
          </w:tcPr>
          <w:p w14:paraId="39686756" w14:textId="77777777" w:rsidR="004A7A40" w:rsidRPr="007849B1" w:rsidRDefault="004A7A40" w:rsidP="009F5C9D">
            <w:pPr>
              <w:pStyle w:val="TAL"/>
              <w:jc w:val="center"/>
              <w:rPr>
                <w:rFonts w:ascii="Times New Roman" w:hAnsi="Times New Roman"/>
                <w:i/>
                <w:szCs w:val="18"/>
              </w:rPr>
            </w:pPr>
            <w:r w:rsidRPr="007849B1">
              <w:rPr>
                <w:rFonts w:ascii="Times New Roman" w:hAnsi="Times New Roman"/>
                <w:i/>
                <w:szCs w:val="18"/>
              </w:rPr>
              <w:t>σ</w:t>
            </w:r>
            <w:r w:rsidRPr="007849B1">
              <w:rPr>
                <w:rFonts w:ascii="Times New Roman" w:hAnsi="Times New Roman"/>
                <w:i/>
                <w:szCs w:val="18"/>
                <w:vertAlign w:val="subscript"/>
              </w:rPr>
              <w:t>SF</w:t>
            </w:r>
            <w:r w:rsidRPr="007849B1">
              <w:rPr>
                <w:rFonts w:ascii="Times New Roman" w:hAnsi="Times New Roman"/>
                <w:szCs w:val="18"/>
              </w:rPr>
              <w:t>=8.03</w:t>
            </w:r>
          </w:p>
        </w:tc>
        <w:tc>
          <w:tcPr>
            <w:tcW w:w="2023" w:type="dxa"/>
            <w:vAlign w:val="center"/>
          </w:tcPr>
          <w:p w14:paraId="7551217D" w14:textId="77777777" w:rsidR="004A7A40" w:rsidRPr="007849B1" w:rsidRDefault="004A7A40" w:rsidP="009F5C9D">
            <w:pPr>
              <w:pStyle w:val="TAL"/>
              <w:rPr>
                <w:rFonts w:ascii="Times New Roman" w:hAnsi="Times New Roman"/>
                <w:szCs w:val="18"/>
                <w:lang w:val="fr-FR" w:eastAsia="ko-KR"/>
              </w:rPr>
            </w:pPr>
            <w:r w:rsidRPr="007849B1">
              <w:rPr>
                <w:rFonts w:ascii="Times New Roman" w:hAnsi="Times New Roman" w:hint="eastAsia"/>
                <w:szCs w:val="18"/>
                <w:lang w:val="fr-FR" w:eastAsia="ko-KR"/>
              </w:rPr>
              <w:t>1</w:t>
            </w:r>
            <w:r w:rsidRPr="007849B1">
              <w:rPr>
                <w:rFonts w:ascii="Times New Roman" w:hAnsi="Times New Roman"/>
                <w:szCs w:val="18"/>
                <w:lang w:val="fr-FR" w:eastAsia="ko-KR"/>
              </w:rPr>
              <w:t>&lt;</w:t>
            </w:r>
            <w:r w:rsidRPr="007849B1">
              <w:rPr>
                <w:rFonts w:ascii="Times New Roman" w:hAnsi="Times New Roman"/>
                <w:i/>
                <w:szCs w:val="18"/>
                <w:lang w:val="fr-FR" w:eastAsia="ko-KR"/>
              </w:rPr>
              <w:t>d</w:t>
            </w:r>
            <w:r w:rsidRPr="007849B1">
              <w:rPr>
                <w:rFonts w:ascii="Times New Roman" w:hAnsi="Times New Roman"/>
                <w:szCs w:val="18"/>
                <w:vertAlign w:val="subscript"/>
                <w:lang w:val="fr-FR" w:eastAsia="ko-KR"/>
              </w:rPr>
              <w:t>3D</w:t>
            </w:r>
            <w:r w:rsidRPr="007849B1">
              <w:rPr>
                <w:rFonts w:ascii="Times New Roman" w:hAnsi="Times New Roman"/>
                <w:szCs w:val="18"/>
                <w:lang w:val="fr-FR" w:eastAsia="ko-KR"/>
              </w:rPr>
              <w:t>&lt;</w:t>
            </w:r>
            <w:r w:rsidRPr="007849B1">
              <w:rPr>
                <w:rFonts w:ascii="Times New Roman" w:hAnsi="Times New Roman" w:hint="eastAsia"/>
                <w:szCs w:val="18"/>
                <w:lang w:val="fr-FR" w:eastAsia="ko-KR"/>
              </w:rPr>
              <w:t>86m</w:t>
            </w:r>
          </w:p>
        </w:tc>
      </w:tr>
    </w:tbl>
    <w:p w14:paraId="024CF397" w14:textId="77777777" w:rsidR="000B2E59" w:rsidRDefault="000B2E59" w:rsidP="000B2E59">
      <w:pPr>
        <w:pStyle w:val="TH"/>
      </w:pPr>
    </w:p>
    <w:p w14:paraId="4B1B55F3" w14:textId="707A6FC8" w:rsidR="004A7A40" w:rsidRPr="000B2E59" w:rsidRDefault="00817536" w:rsidP="000B2E59">
      <w:pPr>
        <w:pStyle w:val="TH"/>
        <w:rPr>
          <w:lang w:val="en-US"/>
        </w:rPr>
      </w:pPr>
      <w:r>
        <w:rPr>
          <w:lang w:val="en-US"/>
        </w:rPr>
        <w:t xml:space="preserve">Table 3. </w:t>
      </w:r>
      <w:r w:rsidR="000B2E59">
        <w:rPr>
          <w:lang w:val="en-US"/>
        </w:rPr>
        <w:t>Other assumptions</w:t>
      </w:r>
    </w:p>
    <w:tbl>
      <w:tblPr>
        <w:tblStyle w:val="TableGrid"/>
        <w:tblW w:w="0" w:type="auto"/>
        <w:tblLook w:val="04A0" w:firstRow="1" w:lastRow="0" w:firstColumn="1" w:lastColumn="0" w:noHBand="0" w:noVBand="1"/>
      </w:tblPr>
      <w:tblGrid>
        <w:gridCol w:w="4505"/>
        <w:gridCol w:w="4505"/>
      </w:tblGrid>
      <w:tr w:rsidR="000B2E59" w:rsidRPr="000B2E59" w14:paraId="57691060" w14:textId="77777777" w:rsidTr="000B2E59">
        <w:trPr>
          <w:trHeight w:val="386"/>
        </w:trPr>
        <w:tc>
          <w:tcPr>
            <w:tcW w:w="4505" w:type="dxa"/>
            <w:hideMark/>
          </w:tcPr>
          <w:p w14:paraId="4E16402D"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Minimum UE-UE (2D) distance</w:t>
            </w:r>
          </w:p>
        </w:tc>
        <w:tc>
          <w:tcPr>
            <w:tcW w:w="4505" w:type="dxa"/>
            <w:hideMark/>
          </w:tcPr>
          <w:p w14:paraId="46A8DE68" w14:textId="4E664966"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Indoor-to-Indoor: 1m</w:t>
            </w:r>
          </w:p>
        </w:tc>
      </w:tr>
      <w:tr w:rsidR="000B2E59" w:rsidRPr="000B2E59" w14:paraId="034DF197" w14:textId="77777777" w:rsidTr="000B2E59">
        <w:trPr>
          <w:trHeight w:val="296"/>
        </w:trPr>
        <w:tc>
          <w:tcPr>
            <w:tcW w:w="4505" w:type="dxa"/>
            <w:hideMark/>
          </w:tcPr>
          <w:p w14:paraId="74A60F7C"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Carrier frequency</w:t>
            </w:r>
          </w:p>
        </w:tc>
        <w:tc>
          <w:tcPr>
            <w:tcW w:w="4505" w:type="dxa"/>
            <w:hideMark/>
          </w:tcPr>
          <w:p w14:paraId="21ACF55F"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4GHz</w:t>
            </w:r>
          </w:p>
        </w:tc>
      </w:tr>
      <w:tr w:rsidR="00663A24" w:rsidRPr="000B2E59" w14:paraId="7D312D06" w14:textId="77777777" w:rsidTr="000B2E59">
        <w:trPr>
          <w:trHeight w:val="296"/>
        </w:trPr>
        <w:tc>
          <w:tcPr>
            <w:tcW w:w="4505" w:type="dxa"/>
          </w:tcPr>
          <w:p w14:paraId="27610232" w14:textId="12C33E10" w:rsidR="00663A24" w:rsidRPr="000B2E59" w:rsidRDefault="00663A24" w:rsidP="000B2E59">
            <w:pPr>
              <w:jc w:val="center"/>
              <w:rPr>
                <w:rFonts w:eastAsia="SimSun"/>
                <w:kern w:val="24"/>
                <w:sz w:val="20"/>
                <w:szCs w:val="20"/>
                <w:lang w:val="en-GB" w:eastAsia="ja-JP"/>
              </w:rPr>
            </w:pPr>
            <w:r>
              <w:rPr>
                <w:rFonts w:eastAsia="SimSun"/>
                <w:kern w:val="24"/>
                <w:sz w:val="20"/>
                <w:szCs w:val="20"/>
                <w:lang w:val="en-GB" w:eastAsia="ja-JP"/>
              </w:rPr>
              <w:lastRenderedPageBreak/>
              <w:t>Channel bandwidth</w:t>
            </w:r>
          </w:p>
        </w:tc>
        <w:tc>
          <w:tcPr>
            <w:tcW w:w="4505" w:type="dxa"/>
          </w:tcPr>
          <w:p w14:paraId="4F9E0BA2" w14:textId="2B4D8C89" w:rsidR="00663A24" w:rsidRPr="000B2E59" w:rsidRDefault="00663A24" w:rsidP="000B2E59">
            <w:pPr>
              <w:jc w:val="center"/>
              <w:rPr>
                <w:rFonts w:eastAsia="SimSun"/>
                <w:kern w:val="24"/>
                <w:sz w:val="20"/>
                <w:szCs w:val="20"/>
                <w:lang w:val="en-GB" w:eastAsia="ja-JP"/>
              </w:rPr>
            </w:pPr>
            <w:r>
              <w:rPr>
                <w:rFonts w:eastAsia="SimSun"/>
                <w:kern w:val="24"/>
                <w:sz w:val="20"/>
                <w:szCs w:val="20"/>
                <w:lang w:val="en-GB" w:eastAsia="ja-JP"/>
              </w:rPr>
              <w:t>100MHz</w:t>
            </w:r>
          </w:p>
        </w:tc>
      </w:tr>
      <w:tr w:rsidR="000B2E59" w:rsidRPr="000B2E59" w14:paraId="61E2312A" w14:textId="77777777" w:rsidTr="000B2E59">
        <w:trPr>
          <w:trHeight w:val="314"/>
        </w:trPr>
        <w:tc>
          <w:tcPr>
            <w:tcW w:w="4505" w:type="dxa"/>
            <w:hideMark/>
          </w:tcPr>
          <w:p w14:paraId="6039EA8C"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BS TX power</w:t>
            </w:r>
          </w:p>
        </w:tc>
        <w:tc>
          <w:tcPr>
            <w:tcW w:w="4505" w:type="dxa"/>
            <w:hideMark/>
          </w:tcPr>
          <w:p w14:paraId="28E7DBA6"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24 dBm</w:t>
            </w:r>
          </w:p>
        </w:tc>
      </w:tr>
      <w:tr w:rsidR="000B2E59" w:rsidRPr="000B2E59" w14:paraId="6ED8506F" w14:textId="77777777" w:rsidTr="000B2E59">
        <w:trPr>
          <w:trHeight w:val="278"/>
        </w:trPr>
        <w:tc>
          <w:tcPr>
            <w:tcW w:w="4505" w:type="dxa"/>
            <w:hideMark/>
          </w:tcPr>
          <w:p w14:paraId="3D850B7F"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UE TX power</w:t>
            </w:r>
          </w:p>
        </w:tc>
        <w:tc>
          <w:tcPr>
            <w:tcW w:w="4505" w:type="dxa"/>
            <w:hideMark/>
          </w:tcPr>
          <w:p w14:paraId="3416EEEA"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23 dBm</w:t>
            </w:r>
          </w:p>
        </w:tc>
      </w:tr>
      <w:tr w:rsidR="000B2E59" w:rsidRPr="000B2E59" w14:paraId="5162777B" w14:textId="77777777" w:rsidTr="000B2E59">
        <w:trPr>
          <w:trHeight w:val="1070"/>
        </w:trPr>
        <w:tc>
          <w:tcPr>
            <w:tcW w:w="4505" w:type="dxa"/>
            <w:hideMark/>
          </w:tcPr>
          <w:p w14:paraId="7B92B2D3"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Path-loss model</w:t>
            </w:r>
          </w:p>
        </w:tc>
        <w:tc>
          <w:tcPr>
            <w:tcW w:w="4505" w:type="dxa"/>
            <w:hideMark/>
          </w:tcPr>
          <w:p w14:paraId="45CCFD0D" w14:textId="77777777" w:rsidR="000B2E59" w:rsidRDefault="000B2E59" w:rsidP="000B2E59">
            <w:pPr>
              <w:spacing w:after="159" w:line="213" w:lineRule="atLeast"/>
              <w:ind w:left="980" w:hanging="401"/>
              <w:rPr>
                <w:rFonts w:eastAsia="SimSun"/>
                <w:kern w:val="24"/>
                <w:sz w:val="20"/>
                <w:szCs w:val="20"/>
                <w:lang w:val="en-GB" w:eastAsia="ja-JP"/>
              </w:rPr>
            </w:pPr>
            <w:r w:rsidRPr="000B2E59">
              <w:rPr>
                <w:rFonts w:eastAsia="SimSun"/>
                <w:kern w:val="24"/>
                <w:sz w:val="20"/>
                <w:szCs w:val="20"/>
                <w:lang w:val="en-GB" w:eastAsia="ja-JP"/>
              </w:rPr>
              <w:t>BS-to-BS: InH-office [TR 38.803]</w:t>
            </w:r>
          </w:p>
          <w:p w14:paraId="2C8C7F9C" w14:textId="77777777" w:rsidR="000B2E59" w:rsidRDefault="000B2E59" w:rsidP="000B2E59">
            <w:pPr>
              <w:spacing w:after="159" w:line="213" w:lineRule="atLeast"/>
              <w:ind w:left="980" w:hanging="401"/>
              <w:rPr>
                <w:rFonts w:eastAsia="SimSun"/>
                <w:kern w:val="24"/>
                <w:sz w:val="20"/>
                <w:szCs w:val="20"/>
                <w:lang w:val="en-GB" w:eastAsia="ja-JP"/>
              </w:rPr>
            </w:pPr>
            <w:r w:rsidRPr="000B2E59">
              <w:rPr>
                <w:rFonts w:eastAsia="SimSun"/>
                <w:kern w:val="24"/>
                <w:sz w:val="20"/>
                <w:szCs w:val="20"/>
                <w:lang w:val="en-GB" w:eastAsia="ja-JP"/>
              </w:rPr>
              <w:t>BS-to-UE: InH-office [TR 38.803]</w:t>
            </w:r>
          </w:p>
          <w:p w14:paraId="5043BACF" w14:textId="52AF5CEB" w:rsidR="000B2E59" w:rsidRPr="000B2E59" w:rsidRDefault="000B2E59" w:rsidP="000B2E59">
            <w:pPr>
              <w:spacing w:after="159" w:line="213" w:lineRule="atLeast"/>
              <w:ind w:left="980" w:hanging="401"/>
              <w:rPr>
                <w:rFonts w:eastAsia="SimSun"/>
                <w:kern w:val="24"/>
                <w:sz w:val="20"/>
                <w:szCs w:val="20"/>
                <w:lang w:val="en-GB" w:eastAsia="ja-JP"/>
              </w:rPr>
            </w:pPr>
            <w:r w:rsidRPr="000B2E59">
              <w:rPr>
                <w:rFonts w:eastAsia="SimSun"/>
                <w:kern w:val="24"/>
                <w:sz w:val="20"/>
                <w:szCs w:val="20"/>
                <w:lang w:val="en-GB" w:eastAsia="ja-JP"/>
              </w:rPr>
              <w:t>UE-to-UE: InH-office [TR 38.803]</w:t>
            </w:r>
          </w:p>
        </w:tc>
      </w:tr>
      <w:tr w:rsidR="000B2E59" w:rsidRPr="000B2E59" w14:paraId="144A323D" w14:textId="77777777" w:rsidTr="000B2E59">
        <w:trPr>
          <w:trHeight w:val="431"/>
        </w:trPr>
        <w:tc>
          <w:tcPr>
            <w:tcW w:w="4505" w:type="dxa"/>
            <w:hideMark/>
          </w:tcPr>
          <w:p w14:paraId="498E932F"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UE antenna</w:t>
            </w:r>
          </w:p>
        </w:tc>
        <w:tc>
          <w:tcPr>
            <w:tcW w:w="4505" w:type="dxa"/>
            <w:hideMark/>
          </w:tcPr>
          <w:p w14:paraId="7DB14252"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Omni</w:t>
            </w:r>
          </w:p>
        </w:tc>
      </w:tr>
      <w:tr w:rsidR="000B2E59" w:rsidRPr="000B2E59" w14:paraId="5E7764AA" w14:textId="77777777" w:rsidTr="000B2E59">
        <w:trPr>
          <w:trHeight w:val="440"/>
        </w:trPr>
        <w:tc>
          <w:tcPr>
            <w:tcW w:w="4505" w:type="dxa"/>
            <w:hideMark/>
          </w:tcPr>
          <w:p w14:paraId="44C800C3" w14:textId="49E40958" w:rsidR="000B2E59" w:rsidRPr="000B2E59" w:rsidRDefault="00AF2539" w:rsidP="000B2E59">
            <w:pPr>
              <w:jc w:val="center"/>
              <w:rPr>
                <w:rFonts w:eastAsia="SimSun"/>
                <w:kern w:val="24"/>
                <w:sz w:val="20"/>
                <w:szCs w:val="20"/>
                <w:lang w:val="en-GB" w:eastAsia="ja-JP"/>
              </w:rPr>
            </w:pPr>
            <w:r>
              <w:rPr>
                <w:rFonts w:eastAsia="SimSun"/>
                <w:kern w:val="24"/>
                <w:sz w:val="20"/>
                <w:szCs w:val="20"/>
                <w:lang w:val="en-GB" w:eastAsia="ja-JP"/>
              </w:rPr>
              <w:t>g</w:t>
            </w:r>
            <w:r w:rsidR="000B2E59" w:rsidRPr="000B2E59">
              <w:rPr>
                <w:rFonts w:eastAsia="SimSun"/>
                <w:kern w:val="24"/>
                <w:sz w:val="20"/>
                <w:szCs w:val="20"/>
                <w:lang w:val="en-GB" w:eastAsia="ja-JP"/>
              </w:rPr>
              <w:t>NB antenna</w:t>
            </w:r>
          </w:p>
        </w:tc>
        <w:tc>
          <w:tcPr>
            <w:tcW w:w="4505" w:type="dxa"/>
            <w:hideMark/>
          </w:tcPr>
          <w:p w14:paraId="47D200D9" w14:textId="7825EA28" w:rsidR="000B2E59" w:rsidRPr="000B2E59" w:rsidRDefault="00AF2539" w:rsidP="000B2E59">
            <w:pPr>
              <w:jc w:val="center"/>
              <w:rPr>
                <w:rFonts w:eastAsia="SimSun"/>
                <w:kern w:val="24"/>
                <w:sz w:val="20"/>
                <w:szCs w:val="20"/>
                <w:lang w:val="en-GB" w:eastAsia="ja-JP"/>
              </w:rPr>
            </w:pPr>
            <w:r>
              <w:rPr>
                <w:rFonts w:eastAsia="SimSun"/>
                <w:kern w:val="24"/>
                <w:sz w:val="20"/>
                <w:szCs w:val="20"/>
                <w:lang w:val="en-GB" w:eastAsia="ja-JP"/>
              </w:rPr>
              <w:t xml:space="preserve">[3, </w:t>
            </w:r>
            <w:r w:rsidRPr="00AF2539">
              <w:rPr>
                <w:rFonts w:eastAsia="SimSun"/>
                <w:kern w:val="24"/>
                <w:sz w:val="20"/>
                <w:szCs w:val="20"/>
                <w:lang w:val="en-GB" w:eastAsia="ja-JP"/>
              </w:rPr>
              <w:t xml:space="preserve">Table </w:t>
            </w:r>
            <w:r w:rsidRPr="00AF2539">
              <w:rPr>
                <w:rFonts w:eastAsia="SimSun" w:hint="eastAsia"/>
                <w:kern w:val="24"/>
                <w:sz w:val="20"/>
                <w:szCs w:val="20"/>
                <w:lang w:val="en-GB" w:eastAsia="ja-JP"/>
              </w:rPr>
              <w:t>5.2.3.2.3-1</w:t>
            </w:r>
            <w:r>
              <w:rPr>
                <w:rFonts w:eastAsia="SimSun"/>
                <w:kern w:val="24"/>
                <w:sz w:val="20"/>
                <w:szCs w:val="20"/>
                <w:lang w:val="en-GB" w:eastAsia="ja-JP"/>
              </w:rPr>
              <w:t>]</w:t>
            </w:r>
          </w:p>
        </w:tc>
      </w:tr>
      <w:tr w:rsidR="000B2E59" w:rsidRPr="000B2E59" w14:paraId="183F1367" w14:textId="77777777" w:rsidTr="000B2E59">
        <w:trPr>
          <w:trHeight w:val="440"/>
        </w:trPr>
        <w:tc>
          <w:tcPr>
            <w:tcW w:w="4505" w:type="dxa"/>
            <w:hideMark/>
          </w:tcPr>
          <w:p w14:paraId="24A31AA4"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Cell selection criteria</w:t>
            </w:r>
          </w:p>
        </w:tc>
        <w:tc>
          <w:tcPr>
            <w:tcW w:w="4505" w:type="dxa"/>
            <w:hideMark/>
          </w:tcPr>
          <w:p w14:paraId="2041D2C2"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Cell selection is based on RSRP</w:t>
            </w:r>
          </w:p>
        </w:tc>
      </w:tr>
      <w:tr w:rsidR="000B2E59" w:rsidRPr="000B2E59" w14:paraId="41B194B1" w14:textId="77777777" w:rsidTr="000B2E59">
        <w:trPr>
          <w:trHeight w:val="440"/>
        </w:trPr>
        <w:tc>
          <w:tcPr>
            <w:tcW w:w="4505" w:type="dxa"/>
            <w:hideMark/>
          </w:tcPr>
          <w:p w14:paraId="46D80F5D"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BS receiver noise figure</w:t>
            </w:r>
          </w:p>
        </w:tc>
        <w:tc>
          <w:tcPr>
            <w:tcW w:w="4505" w:type="dxa"/>
            <w:hideMark/>
          </w:tcPr>
          <w:p w14:paraId="69D23E6C"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5dB</w:t>
            </w:r>
          </w:p>
        </w:tc>
      </w:tr>
      <w:tr w:rsidR="000B2E59" w:rsidRPr="000B2E59" w14:paraId="1E705E2E" w14:textId="77777777" w:rsidTr="000B2E59">
        <w:trPr>
          <w:trHeight w:val="431"/>
        </w:trPr>
        <w:tc>
          <w:tcPr>
            <w:tcW w:w="4505" w:type="dxa"/>
            <w:hideMark/>
          </w:tcPr>
          <w:p w14:paraId="54A233E0"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UE receiver noise figure</w:t>
            </w:r>
          </w:p>
        </w:tc>
        <w:tc>
          <w:tcPr>
            <w:tcW w:w="4505" w:type="dxa"/>
            <w:hideMark/>
          </w:tcPr>
          <w:p w14:paraId="6DACEF97"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9dB</w:t>
            </w:r>
          </w:p>
        </w:tc>
      </w:tr>
    </w:tbl>
    <w:p w14:paraId="2F2AB91B" w14:textId="37D403FF" w:rsidR="00A14D2A" w:rsidRDefault="00A14D2A" w:rsidP="00A14D2A">
      <w:pPr>
        <w:rPr>
          <w:rFonts w:eastAsia="SimSun"/>
          <w:kern w:val="24"/>
          <w:sz w:val="20"/>
          <w:szCs w:val="20"/>
          <w:lang w:val="en-GB" w:eastAsia="ja-JP"/>
        </w:rPr>
      </w:pPr>
    </w:p>
    <w:p w14:paraId="6752F4F7" w14:textId="7A4CF22B" w:rsidR="00BA1D6C" w:rsidRDefault="00BA1D6C" w:rsidP="00BA1D6C">
      <w:pPr>
        <w:jc w:val="center"/>
        <w:rPr>
          <w:rFonts w:eastAsia="SimSun"/>
          <w:kern w:val="24"/>
          <w:sz w:val="20"/>
          <w:szCs w:val="20"/>
          <w:lang w:val="en-GB" w:eastAsia="ja-JP"/>
        </w:rPr>
      </w:pPr>
      <w:r w:rsidRPr="00BA1D6C">
        <w:rPr>
          <w:rFonts w:cs="Batang"/>
          <w:noProof/>
          <w:sz w:val="20"/>
          <w:szCs w:val="20"/>
          <w:lang w:val="en-GB" w:eastAsia="ja-JP"/>
        </w:rPr>
        <w:drawing>
          <wp:inline distT="0" distB="0" distL="0" distR="0" wp14:anchorId="76E5E78B" wp14:editId="38329C0F">
            <wp:extent cx="3545579" cy="2659184"/>
            <wp:effectExtent l="0" t="0" r="0" b="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15"/>
                    <a:stretch>
                      <a:fillRect/>
                    </a:stretch>
                  </pic:blipFill>
                  <pic:spPr>
                    <a:xfrm>
                      <a:off x="0" y="0"/>
                      <a:ext cx="3568412" cy="2676309"/>
                    </a:xfrm>
                    <a:prstGeom prst="rect">
                      <a:avLst/>
                    </a:prstGeom>
                  </pic:spPr>
                </pic:pic>
              </a:graphicData>
            </a:graphic>
          </wp:inline>
        </w:drawing>
      </w:r>
    </w:p>
    <w:p w14:paraId="386C9016" w14:textId="30F4D644" w:rsidR="00BA1D6C" w:rsidRPr="00BA1D6C" w:rsidRDefault="00BA1D6C" w:rsidP="00BA1D6C">
      <w:pPr>
        <w:pStyle w:val="TH"/>
        <w:rPr>
          <w:lang w:val="en-US"/>
        </w:rPr>
      </w:pPr>
      <w:r>
        <w:rPr>
          <w:rFonts w:eastAsia="SimSun"/>
          <w:kern w:val="24"/>
          <w:lang w:val="en-GB" w:eastAsia="ja-JP"/>
        </w:rPr>
        <w:t xml:space="preserve">Figure </w:t>
      </w:r>
      <w:r w:rsidR="002B21D4">
        <w:rPr>
          <w:rFonts w:eastAsia="SimSun"/>
          <w:kern w:val="24"/>
          <w:lang w:val="en-GB" w:eastAsia="ja-JP"/>
        </w:rPr>
        <w:t>A.</w:t>
      </w:r>
      <w:r>
        <w:rPr>
          <w:rFonts w:eastAsia="SimSun"/>
          <w:kern w:val="24"/>
          <w:lang w:val="en-GB" w:eastAsia="ja-JP"/>
        </w:rPr>
        <w:t>1</w:t>
      </w:r>
      <w:r>
        <w:rPr>
          <w:lang w:val="en-US"/>
        </w:rPr>
        <w:t>: LLS for 230kbps UL Throughput</w:t>
      </w:r>
    </w:p>
    <w:p w14:paraId="74F364BD" w14:textId="77777777" w:rsidR="00BA1D6C" w:rsidRPr="000B2E59" w:rsidRDefault="00BA1D6C" w:rsidP="00BA1D6C">
      <w:pPr>
        <w:jc w:val="center"/>
        <w:rPr>
          <w:rFonts w:eastAsia="SimSun"/>
          <w:kern w:val="24"/>
          <w:sz w:val="20"/>
          <w:szCs w:val="20"/>
          <w:lang w:val="en-GB" w:eastAsia="ja-JP"/>
        </w:rPr>
      </w:pPr>
    </w:p>
    <w:sectPr w:rsidR="00BA1D6C" w:rsidRPr="000B2E59"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Math">
    <w:panose1 w:val="02040503050406030204"/>
    <w:charset w:val="00"/>
    <w:family w:val="roman"/>
    <w:pitch w:val="variable"/>
    <w:sig w:usb0="E00006FF" w:usb1="420024FF" w:usb2="02000000" w:usb3="00000000" w:csb0="0000019F" w:csb1="00000000"/>
  </w:font>
  <w:font w:name="Yu Mincho Light">
    <w:panose1 w:val="020203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Segoe UI Emoji">
    <w:panose1 w:val="020B0502040204020203"/>
    <w:charset w:val="00"/>
    <w:family w:val="swiss"/>
    <w:pitch w:val="variable"/>
    <w:sig w:usb0="00000003" w:usb1="02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89C124C"/>
    <w:multiLevelType w:val="hybridMultilevel"/>
    <w:tmpl w:val="5FC0C4A8"/>
    <w:lvl w:ilvl="0" w:tplc="740677FC">
      <w:start w:val="1"/>
      <w:numFmt w:val="bullet"/>
      <w:lvlText w:val="-"/>
      <w:lvlJc w:val="left"/>
      <w:pPr>
        <w:tabs>
          <w:tab w:val="num" w:pos="720"/>
        </w:tabs>
        <w:ind w:left="720" w:hanging="360"/>
      </w:pPr>
      <w:rPr>
        <w:rFonts w:ascii="Cambria Math" w:hAnsi="Cambria Math"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Cambria Math" w:hAnsi="Cambria Math"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alibri" w:hAnsi="Calibri" w:hint="default"/>
      </w:rPr>
    </w:lvl>
    <w:lvl w:ilvl="6" w:tplc="04090001" w:tentative="1">
      <w:start w:val="1"/>
      <w:numFmt w:val="bullet"/>
      <w:lvlText w:val=""/>
      <w:lvlJc w:val="left"/>
      <w:pPr>
        <w:ind w:left="5040" w:hanging="360"/>
      </w:pPr>
      <w:rPr>
        <w:rFonts w:ascii="Cambria Math" w:hAnsi="Cambria Math"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alibri" w:hAnsi="Calibri" w:hint="default"/>
      </w:rPr>
    </w:lvl>
  </w:abstractNum>
  <w:abstractNum w:abstractNumId="11"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CF3A78"/>
    <w:multiLevelType w:val="hybridMultilevel"/>
    <w:tmpl w:val="A2EE2DF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38F96109"/>
    <w:multiLevelType w:val="hybridMultilevel"/>
    <w:tmpl w:val="CB447E0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alibri Light" w:hAnsi="Calibri Light" w:cs="Calibri Light" w:hint="default"/>
      </w:rPr>
    </w:lvl>
    <w:lvl w:ilvl="2" w:tplc="04090005" w:tentative="1">
      <w:start w:val="1"/>
      <w:numFmt w:val="bullet"/>
      <w:lvlText w:val=""/>
      <w:lvlJc w:val="left"/>
      <w:pPr>
        <w:ind w:left="2880" w:hanging="360"/>
      </w:pPr>
      <w:rPr>
        <w:rFonts w:ascii="ZapfDingbats" w:hAnsi="ZapfDingbats" w:hint="default"/>
      </w:rPr>
    </w:lvl>
    <w:lvl w:ilvl="3" w:tplc="04090001" w:tentative="1">
      <w:start w:val="1"/>
      <w:numFmt w:val="bullet"/>
      <w:lvlText w:val=""/>
      <w:lvlJc w:val="left"/>
      <w:pPr>
        <w:ind w:left="3600" w:hanging="360"/>
      </w:pPr>
      <w:rPr>
        <w:rFonts w:ascii="Segoe UI Emoji" w:hAnsi="Segoe UI Emoji" w:hint="default"/>
      </w:rPr>
    </w:lvl>
    <w:lvl w:ilvl="4" w:tplc="04090003" w:tentative="1">
      <w:start w:val="1"/>
      <w:numFmt w:val="bullet"/>
      <w:lvlText w:val="o"/>
      <w:lvlJc w:val="left"/>
      <w:pPr>
        <w:ind w:left="4320" w:hanging="360"/>
      </w:pPr>
      <w:rPr>
        <w:rFonts w:ascii="Calibri Light" w:hAnsi="Calibri Light" w:cs="Calibri Light" w:hint="default"/>
      </w:rPr>
    </w:lvl>
    <w:lvl w:ilvl="5" w:tplc="04090005" w:tentative="1">
      <w:start w:val="1"/>
      <w:numFmt w:val="bullet"/>
      <w:lvlText w:val=""/>
      <w:lvlJc w:val="left"/>
      <w:pPr>
        <w:ind w:left="5040" w:hanging="360"/>
      </w:pPr>
      <w:rPr>
        <w:rFonts w:ascii="ZapfDingbats" w:hAnsi="ZapfDingbats" w:hint="default"/>
      </w:rPr>
    </w:lvl>
    <w:lvl w:ilvl="6" w:tplc="04090001" w:tentative="1">
      <w:start w:val="1"/>
      <w:numFmt w:val="bullet"/>
      <w:lvlText w:val=""/>
      <w:lvlJc w:val="left"/>
      <w:pPr>
        <w:ind w:left="5760" w:hanging="360"/>
      </w:pPr>
      <w:rPr>
        <w:rFonts w:ascii="Segoe UI Emoji" w:hAnsi="Segoe UI Emoji" w:hint="default"/>
      </w:rPr>
    </w:lvl>
    <w:lvl w:ilvl="7" w:tplc="04090003" w:tentative="1">
      <w:start w:val="1"/>
      <w:numFmt w:val="bullet"/>
      <w:lvlText w:val="o"/>
      <w:lvlJc w:val="left"/>
      <w:pPr>
        <w:ind w:left="6480" w:hanging="360"/>
      </w:pPr>
      <w:rPr>
        <w:rFonts w:ascii="Calibri Light" w:hAnsi="Calibri Light" w:cs="Calibri Light" w:hint="default"/>
      </w:rPr>
    </w:lvl>
    <w:lvl w:ilvl="8" w:tplc="04090005" w:tentative="1">
      <w:start w:val="1"/>
      <w:numFmt w:val="bullet"/>
      <w:lvlText w:val=""/>
      <w:lvlJc w:val="left"/>
      <w:pPr>
        <w:ind w:left="7200" w:hanging="360"/>
      </w:pPr>
      <w:rPr>
        <w:rFonts w:ascii="ZapfDingbats" w:hAnsi="ZapfDingbats" w:hint="default"/>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F4D02EC"/>
    <w:multiLevelType w:val="hybridMultilevel"/>
    <w:tmpl w:val="917A9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6D34A15"/>
    <w:multiLevelType w:val="hybridMultilevel"/>
    <w:tmpl w:val="7DB2A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693080">
    <w:abstractNumId w:val="3"/>
  </w:num>
  <w:num w:numId="2" w16cid:durableId="98794354">
    <w:abstractNumId w:val="20"/>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12"/>
  </w:num>
  <w:num w:numId="5" w16cid:durableId="559053736">
    <w:abstractNumId w:val="8"/>
  </w:num>
  <w:num w:numId="6" w16cid:durableId="1855418263">
    <w:abstractNumId w:val="3"/>
  </w:num>
  <w:num w:numId="7" w16cid:durableId="1158962368">
    <w:abstractNumId w:val="5"/>
  </w:num>
  <w:num w:numId="8" w16cid:durableId="124978665">
    <w:abstractNumId w:val="19"/>
  </w:num>
  <w:num w:numId="9" w16cid:durableId="1560631235">
    <w:abstractNumId w:val="3"/>
  </w:num>
  <w:num w:numId="10" w16cid:durableId="1957518174">
    <w:abstractNumId w:val="18"/>
  </w:num>
  <w:num w:numId="11" w16cid:durableId="148325099">
    <w:abstractNumId w:val="22"/>
  </w:num>
  <w:num w:numId="12" w16cid:durableId="1367829081">
    <w:abstractNumId w:val="3"/>
  </w:num>
  <w:num w:numId="13" w16cid:durableId="1458793434">
    <w:abstractNumId w:val="17"/>
  </w:num>
  <w:num w:numId="14" w16cid:durableId="1120991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7"/>
  </w:num>
  <w:num w:numId="16" w16cid:durableId="753893123">
    <w:abstractNumId w:val="1"/>
  </w:num>
  <w:num w:numId="17" w16cid:durableId="298189470">
    <w:abstractNumId w:val="6"/>
  </w:num>
  <w:num w:numId="18" w16cid:durableId="967591525">
    <w:abstractNumId w:val="16"/>
  </w:num>
  <w:num w:numId="19" w16cid:durableId="1887063373">
    <w:abstractNumId w:val="2"/>
  </w:num>
  <w:num w:numId="20" w16cid:durableId="995575650">
    <w:abstractNumId w:val="13"/>
  </w:num>
  <w:num w:numId="21" w16cid:durableId="91947407">
    <w:abstractNumId w:val="21"/>
  </w:num>
  <w:num w:numId="22" w16cid:durableId="1644263982">
    <w:abstractNumId w:val="15"/>
  </w:num>
  <w:num w:numId="23" w16cid:durableId="641690042">
    <w:abstractNumId w:val="15"/>
  </w:num>
  <w:num w:numId="24" w16cid:durableId="606431934">
    <w:abstractNumId w:val="11"/>
  </w:num>
  <w:num w:numId="25" w16cid:durableId="555552686">
    <w:abstractNumId w:val="14"/>
  </w:num>
  <w:num w:numId="26" w16cid:durableId="20402460">
    <w:abstractNumId w:val="10"/>
  </w:num>
  <w:num w:numId="27" w16cid:durableId="1694841753">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CF"/>
    <w:rsid w:val="000100B5"/>
    <w:rsid w:val="00011482"/>
    <w:rsid w:val="000115C8"/>
    <w:rsid w:val="00017B94"/>
    <w:rsid w:val="00017E93"/>
    <w:rsid w:val="000212EC"/>
    <w:rsid w:val="00021891"/>
    <w:rsid w:val="00024CF4"/>
    <w:rsid w:val="00031D27"/>
    <w:rsid w:val="00031E68"/>
    <w:rsid w:val="000354D1"/>
    <w:rsid w:val="00037E22"/>
    <w:rsid w:val="00041650"/>
    <w:rsid w:val="00041988"/>
    <w:rsid w:val="00044CC2"/>
    <w:rsid w:val="00046585"/>
    <w:rsid w:val="00050D4A"/>
    <w:rsid w:val="00051373"/>
    <w:rsid w:val="00052C29"/>
    <w:rsid w:val="000531E2"/>
    <w:rsid w:val="00055476"/>
    <w:rsid w:val="00055D16"/>
    <w:rsid w:val="00055F76"/>
    <w:rsid w:val="0005612B"/>
    <w:rsid w:val="00057599"/>
    <w:rsid w:val="000605BB"/>
    <w:rsid w:val="00060D3F"/>
    <w:rsid w:val="00063843"/>
    <w:rsid w:val="000639F0"/>
    <w:rsid w:val="0006765A"/>
    <w:rsid w:val="00071AFF"/>
    <w:rsid w:val="000756C7"/>
    <w:rsid w:val="0007732F"/>
    <w:rsid w:val="00081B2B"/>
    <w:rsid w:val="000849F7"/>
    <w:rsid w:val="00085223"/>
    <w:rsid w:val="0008670F"/>
    <w:rsid w:val="000923EC"/>
    <w:rsid w:val="00094353"/>
    <w:rsid w:val="000A1890"/>
    <w:rsid w:val="000A2BB7"/>
    <w:rsid w:val="000A38C4"/>
    <w:rsid w:val="000A79C9"/>
    <w:rsid w:val="000B2E59"/>
    <w:rsid w:val="000C0C18"/>
    <w:rsid w:val="000C7006"/>
    <w:rsid w:val="000D0F78"/>
    <w:rsid w:val="000D2660"/>
    <w:rsid w:val="000D36A2"/>
    <w:rsid w:val="000D4A1A"/>
    <w:rsid w:val="000D54C9"/>
    <w:rsid w:val="000E2519"/>
    <w:rsid w:val="000E36E5"/>
    <w:rsid w:val="000F2C70"/>
    <w:rsid w:val="0010269A"/>
    <w:rsid w:val="001033DC"/>
    <w:rsid w:val="00103EC9"/>
    <w:rsid w:val="00107247"/>
    <w:rsid w:val="0012163E"/>
    <w:rsid w:val="0012447C"/>
    <w:rsid w:val="00127219"/>
    <w:rsid w:val="00130A25"/>
    <w:rsid w:val="0013108B"/>
    <w:rsid w:val="00133695"/>
    <w:rsid w:val="00134210"/>
    <w:rsid w:val="00134A16"/>
    <w:rsid w:val="00134CE7"/>
    <w:rsid w:val="001406A2"/>
    <w:rsid w:val="00140849"/>
    <w:rsid w:val="00142FD2"/>
    <w:rsid w:val="00145088"/>
    <w:rsid w:val="0014756C"/>
    <w:rsid w:val="001511AC"/>
    <w:rsid w:val="00153773"/>
    <w:rsid w:val="0015382F"/>
    <w:rsid w:val="00161E92"/>
    <w:rsid w:val="00162C20"/>
    <w:rsid w:val="001655D0"/>
    <w:rsid w:val="001661E0"/>
    <w:rsid w:val="0017002D"/>
    <w:rsid w:val="001776EA"/>
    <w:rsid w:val="0018214E"/>
    <w:rsid w:val="00184699"/>
    <w:rsid w:val="00185A0B"/>
    <w:rsid w:val="0018607A"/>
    <w:rsid w:val="00193222"/>
    <w:rsid w:val="00194BBD"/>
    <w:rsid w:val="0019597B"/>
    <w:rsid w:val="00195CDD"/>
    <w:rsid w:val="001A1E71"/>
    <w:rsid w:val="001A4FA2"/>
    <w:rsid w:val="001A5A42"/>
    <w:rsid w:val="001A5F2D"/>
    <w:rsid w:val="001A7C0A"/>
    <w:rsid w:val="001B0BC6"/>
    <w:rsid w:val="001B28C8"/>
    <w:rsid w:val="001B3F28"/>
    <w:rsid w:val="001B4E23"/>
    <w:rsid w:val="001B5175"/>
    <w:rsid w:val="001B7BEC"/>
    <w:rsid w:val="001C3DE0"/>
    <w:rsid w:val="001C4241"/>
    <w:rsid w:val="001C53C6"/>
    <w:rsid w:val="001C71ED"/>
    <w:rsid w:val="001D4036"/>
    <w:rsid w:val="001D4551"/>
    <w:rsid w:val="001D5F61"/>
    <w:rsid w:val="001D6F74"/>
    <w:rsid w:val="001D73FF"/>
    <w:rsid w:val="001E041B"/>
    <w:rsid w:val="001E3D88"/>
    <w:rsid w:val="001E62A2"/>
    <w:rsid w:val="001E73AB"/>
    <w:rsid w:val="001E7C26"/>
    <w:rsid w:val="001E7EE4"/>
    <w:rsid w:val="001F1442"/>
    <w:rsid w:val="001F3D62"/>
    <w:rsid w:val="00203A0D"/>
    <w:rsid w:val="00205FF8"/>
    <w:rsid w:val="0020631C"/>
    <w:rsid w:val="002134C9"/>
    <w:rsid w:val="00214156"/>
    <w:rsid w:val="00215CAC"/>
    <w:rsid w:val="0022064E"/>
    <w:rsid w:val="0022367D"/>
    <w:rsid w:val="00227ADC"/>
    <w:rsid w:val="00231473"/>
    <w:rsid w:val="00232779"/>
    <w:rsid w:val="0023791D"/>
    <w:rsid w:val="00242650"/>
    <w:rsid w:val="00245D27"/>
    <w:rsid w:val="00252B41"/>
    <w:rsid w:val="002562BF"/>
    <w:rsid w:val="00256314"/>
    <w:rsid w:val="00256E42"/>
    <w:rsid w:val="00263926"/>
    <w:rsid w:val="00264568"/>
    <w:rsid w:val="00266E0F"/>
    <w:rsid w:val="002672E4"/>
    <w:rsid w:val="00270C5A"/>
    <w:rsid w:val="0027181A"/>
    <w:rsid w:val="00274F27"/>
    <w:rsid w:val="00277B82"/>
    <w:rsid w:val="002814E7"/>
    <w:rsid w:val="00284AB0"/>
    <w:rsid w:val="00285B13"/>
    <w:rsid w:val="00287E95"/>
    <w:rsid w:val="0029000E"/>
    <w:rsid w:val="00291333"/>
    <w:rsid w:val="002948FF"/>
    <w:rsid w:val="0029769A"/>
    <w:rsid w:val="002A0333"/>
    <w:rsid w:val="002A1F80"/>
    <w:rsid w:val="002A274D"/>
    <w:rsid w:val="002A2ABB"/>
    <w:rsid w:val="002A5B21"/>
    <w:rsid w:val="002A7EFF"/>
    <w:rsid w:val="002B0171"/>
    <w:rsid w:val="002B11FC"/>
    <w:rsid w:val="002B21D4"/>
    <w:rsid w:val="002B72F3"/>
    <w:rsid w:val="002C1494"/>
    <w:rsid w:val="002C2CE9"/>
    <w:rsid w:val="002C4EFD"/>
    <w:rsid w:val="002C7880"/>
    <w:rsid w:val="002C796C"/>
    <w:rsid w:val="002D2CAA"/>
    <w:rsid w:val="002D2FF0"/>
    <w:rsid w:val="002D4B22"/>
    <w:rsid w:val="002D5309"/>
    <w:rsid w:val="002D63C3"/>
    <w:rsid w:val="002D6F69"/>
    <w:rsid w:val="002E2806"/>
    <w:rsid w:val="002E337E"/>
    <w:rsid w:val="002E5153"/>
    <w:rsid w:val="002E7D5F"/>
    <w:rsid w:val="002F3060"/>
    <w:rsid w:val="002F45F1"/>
    <w:rsid w:val="002F498B"/>
    <w:rsid w:val="00300829"/>
    <w:rsid w:val="00301356"/>
    <w:rsid w:val="0030554A"/>
    <w:rsid w:val="00306493"/>
    <w:rsid w:val="003105DC"/>
    <w:rsid w:val="00311CE0"/>
    <w:rsid w:val="0031378A"/>
    <w:rsid w:val="00315F36"/>
    <w:rsid w:val="003204CF"/>
    <w:rsid w:val="00322AFC"/>
    <w:rsid w:val="00325329"/>
    <w:rsid w:val="003262D0"/>
    <w:rsid w:val="00326AED"/>
    <w:rsid w:val="00343CA5"/>
    <w:rsid w:val="0034417B"/>
    <w:rsid w:val="00344AE3"/>
    <w:rsid w:val="00351207"/>
    <w:rsid w:val="0035243D"/>
    <w:rsid w:val="00354CD9"/>
    <w:rsid w:val="00360734"/>
    <w:rsid w:val="00360E10"/>
    <w:rsid w:val="00361704"/>
    <w:rsid w:val="00361D33"/>
    <w:rsid w:val="00362BFD"/>
    <w:rsid w:val="00364786"/>
    <w:rsid w:val="00366F52"/>
    <w:rsid w:val="0036742E"/>
    <w:rsid w:val="00367DFA"/>
    <w:rsid w:val="00370876"/>
    <w:rsid w:val="003771E8"/>
    <w:rsid w:val="003802E1"/>
    <w:rsid w:val="003830C6"/>
    <w:rsid w:val="0038526E"/>
    <w:rsid w:val="003856D0"/>
    <w:rsid w:val="00387EB0"/>
    <w:rsid w:val="00391636"/>
    <w:rsid w:val="003944D1"/>
    <w:rsid w:val="0039545B"/>
    <w:rsid w:val="00396B63"/>
    <w:rsid w:val="003A0C0A"/>
    <w:rsid w:val="003A5BBC"/>
    <w:rsid w:val="003B187F"/>
    <w:rsid w:val="003B620C"/>
    <w:rsid w:val="003B6AB3"/>
    <w:rsid w:val="003C3216"/>
    <w:rsid w:val="003C41D2"/>
    <w:rsid w:val="003C49B0"/>
    <w:rsid w:val="003C7475"/>
    <w:rsid w:val="003C74B7"/>
    <w:rsid w:val="003D0609"/>
    <w:rsid w:val="003D1F65"/>
    <w:rsid w:val="003D30F0"/>
    <w:rsid w:val="003D51F2"/>
    <w:rsid w:val="003E0060"/>
    <w:rsid w:val="003E0B46"/>
    <w:rsid w:val="003E66DF"/>
    <w:rsid w:val="003E75B6"/>
    <w:rsid w:val="003F33CB"/>
    <w:rsid w:val="003F7F88"/>
    <w:rsid w:val="0041336F"/>
    <w:rsid w:val="00414973"/>
    <w:rsid w:val="0041645E"/>
    <w:rsid w:val="00417FC9"/>
    <w:rsid w:val="00427C39"/>
    <w:rsid w:val="004312F7"/>
    <w:rsid w:val="00434E5C"/>
    <w:rsid w:val="00437FC9"/>
    <w:rsid w:val="0044499D"/>
    <w:rsid w:val="00445788"/>
    <w:rsid w:val="00446F00"/>
    <w:rsid w:val="004504F1"/>
    <w:rsid w:val="0045482E"/>
    <w:rsid w:val="00457F5D"/>
    <w:rsid w:val="00461B15"/>
    <w:rsid w:val="00462035"/>
    <w:rsid w:val="00466F57"/>
    <w:rsid w:val="004704C9"/>
    <w:rsid w:val="00472D33"/>
    <w:rsid w:val="00473F4B"/>
    <w:rsid w:val="004752EB"/>
    <w:rsid w:val="0047640E"/>
    <w:rsid w:val="004837C5"/>
    <w:rsid w:val="00485EDE"/>
    <w:rsid w:val="004A1F0D"/>
    <w:rsid w:val="004A2991"/>
    <w:rsid w:val="004A41EF"/>
    <w:rsid w:val="004A5D6B"/>
    <w:rsid w:val="004A7A40"/>
    <w:rsid w:val="004B3124"/>
    <w:rsid w:val="004B368D"/>
    <w:rsid w:val="004B3DF5"/>
    <w:rsid w:val="004B4D8D"/>
    <w:rsid w:val="004B74CC"/>
    <w:rsid w:val="004C4A14"/>
    <w:rsid w:val="004C6ABA"/>
    <w:rsid w:val="004C7036"/>
    <w:rsid w:val="004E01AD"/>
    <w:rsid w:val="004E5D82"/>
    <w:rsid w:val="004E6D4D"/>
    <w:rsid w:val="004F0CA8"/>
    <w:rsid w:val="00500DE7"/>
    <w:rsid w:val="0050600B"/>
    <w:rsid w:val="005062CA"/>
    <w:rsid w:val="00510C62"/>
    <w:rsid w:val="00513928"/>
    <w:rsid w:val="00515F55"/>
    <w:rsid w:val="00517ADD"/>
    <w:rsid w:val="00520081"/>
    <w:rsid w:val="00521183"/>
    <w:rsid w:val="00523D91"/>
    <w:rsid w:val="0052593A"/>
    <w:rsid w:val="00526C5F"/>
    <w:rsid w:val="005327E9"/>
    <w:rsid w:val="00532BAF"/>
    <w:rsid w:val="00532D80"/>
    <w:rsid w:val="0053782C"/>
    <w:rsid w:val="0054222B"/>
    <w:rsid w:val="00543C04"/>
    <w:rsid w:val="0055574E"/>
    <w:rsid w:val="00556671"/>
    <w:rsid w:val="00561D69"/>
    <w:rsid w:val="00561E94"/>
    <w:rsid w:val="00562D2B"/>
    <w:rsid w:val="00571C1E"/>
    <w:rsid w:val="00574720"/>
    <w:rsid w:val="00576934"/>
    <w:rsid w:val="0057794A"/>
    <w:rsid w:val="0058134C"/>
    <w:rsid w:val="0058273C"/>
    <w:rsid w:val="00583230"/>
    <w:rsid w:val="00593FCB"/>
    <w:rsid w:val="0059417B"/>
    <w:rsid w:val="00594DEF"/>
    <w:rsid w:val="00596063"/>
    <w:rsid w:val="0059787C"/>
    <w:rsid w:val="005B0F7A"/>
    <w:rsid w:val="005B1AD1"/>
    <w:rsid w:val="005B6997"/>
    <w:rsid w:val="005B7657"/>
    <w:rsid w:val="005C21D9"/>
    <w:rsid w:val="005C55E7"/>
    <w:rsid w:val="005C77DE"/>
    <w:rsid w:val="005C7B97"/>
    <w:rsid w:val="005D45F7"/>
    <w:rsid w:val="005D5175"/>
    <w:rsid w:val="005D5233"/>
    <w:rsid w:val="005D5F39"/>
    <w:rsid w:val="005D5FF3"/>
    <w:rsid w:val="005E18E3"/>
    <w:rsid w:val="005E25D9"/>
    <w:rsid w:val="005E44F4"/>
    <w:rsid w:val="005E5E14"/>
    <w:rsid w:val="005E7444"/>
    <w:rsid w:val="005F15CC"/>
    <w:rsid w:val="005F7A0E"/>
    <w:rsid w:val="00600FC5"/>
    <w:rsid w:val="00604C3D"/>
    <w:rsid w:val="0061765C"/>
    <w:rsid w:val="00620C29"/>
    <w:rsid w:val="00622552"/>
    <w:rsid w:val="00624E1C"/>
    <w:rsid w:val="00626317"/>
    <w:rsid w:val="00626534"/>
    <w:rsid w:val="00630113"/>
    <w:rsid w:val="00631A14"/>
    <w:rsid w:val="006337E5"/>
    <w:rsid w:val="00634AF5"/>
    <w:rsid w:val="00634B61"/>
    <w:rsid w:val="00636D7B"/>
    <w:rsid w:val="00641951"/>
    <w:rsid w:val="0064204C"/>
    <w:rsid w:val="00645994"/>
    <w:rsid w:val="00652DC3"/>
    <w:rsid w:val="006531B1"/>
    <w:rsid w:val="00654D1D"/>
    <w:rsid w:val="00656CB0"/>
    <w:rsid w:val="00660BC6"/>
    <w:rsid w:val="00660CC8"/>
    <w:rsid w:val="0066205A"/>
    <w:rsid w:val="00663A24"/>
    <w:rsid w:val="00666868"/>
    <w:rsid w:val="006700A5"/>
    <w:rsid w:val="00672A3E"/>
    <w:rsid w:val="00675931"/>
    <w:rsid w:val="006823E7"/>
    <w:rsid w:val="006824B2"/>
    <w:rsid w:val="00682EED"/>
    <w:rsid w:val="0068752E"/>
    <w:rsid w:val="0069087D"/>
    <w:rsid w:val="00695A77"/>
    <w:rsid w:val="00696D14"/>
    <w:rsid w:val="00696E58"/>
    <w:rsid w:val="006A43D9"/>
    <w:rsid w:val="006A45D6"/>
    <w:rsid w:val="006A57C0"/>
    <w:rsid w:val="006B060B"/>
    <w:rsid w:val="006B13B0"/>
    <w:rsid w:val="006B3E00"/>
    <w:rsid w:val="006B5D4F"/>
    <w:rsid w:val="006C2549"/>
    <w:rsid w:val="006C3506"/>
    <w:rsid w:val="006C4E0D"/>
    <w:rsid w:val="006D3E33"/>
    <w:rsid w:val="006D4F66"/>
    <w:rsid w:val="006D54CF"/>
    <w:rsid w:val="006D68DA"/>
    <w:rsid w:val="006E0F5F"/>
    <w:rsid w:val="006E6598"/>
    <w:rsid w:val="006F07E3"/>
    <w:rsid w:val="006F0EC9"/>
    <w:rsid w:val="006F1302"/>
    <w:rsid w:val="006F274D"/>
    <w:rsid w:val="006F66D2"/>
    <w:rsid w:val="00701CCF"/>
    <w:rsid w:val="007023D6"/>
    <w:rsid w:val="00707829"/>
    <w:rsid w:val="0071089C"/>
    <w:rsid w:val="00720BE8"/>
    <w:rsid w:val="00720EBF"/>
    <w:rsid w:val="00721836"/>
    <w:rsid w:val="00724642"/>
    <w:rsid w:val="00732388"/>
    <w:rsid w:val="0073426D"/>
    <w:rsid w:val="0073434C"/>
    <w:rsid w:val="00743A27"/>
    <w:rsid w:val="00744E6D"/>
    <w:rsid w:val="00751E2A"/>
    <w:rsid w:val="00753D11"/>
    <w:rsid w:val="00754F02"/>
    <w:rsid w:val="0075517A"/>
    <w:rsid w:val="007570AB"/>
    <w:rsid w:val="00761938"/>
    <w:rsid w:val="007660E5"/>
    <w:rsid w:val="00770366"/>
    <w:rsid w:val="00771C09"/>
    <w:rsid w:val="007720DD"/>
    <w:rsid w:val="007727CB"/>
    <w:rsid w:val="007740EF"/>
    <w:rsid w:val="0078114E"/>
    <w:rsid w:val="007A1F9E"/>
    <w:rsid w:val="007A41E3"/>
    <w:rsid w:val="007B25CD"/>
    <w:rsid w:val="007B273D"/>
    <w:rsid w:val="007B5221"/>
    <w:rsid w:val="007C0C8B"/>
    <w:rsid w:val="007C232B"/>
    <w:rsid w:val="007C580B"/>
    <w:rsid w:val="007C679C"/>
    <w:rsid w:val="007D7F00"/>
    <w:rsid w:val="007E03DA"/>
    <w:rsid w:val="007E2553"/>
    <w:rsid w:val="007E3054"/>
    <w:rsid w:val="007E4A87"/>
    <w:rsid w:val="007E54EF"/>
    <w:rsid w:val="007E554B"/>
    <w:rsid w:val="007E6FF6"/>
    <w:rsid w:val="007F128C"/>
    <w:rsid w:val="007F4737"/>
    <w:rsid w:val="00802205"/>
    <w:rsid w:val="0081070A"/>
    <w:rsid w:val="00813F25"/>
    <w:rsid w:val="00816874"/>
    <w:rsid w:val="00816C7F"/>
    <w:rsid w:val="00817536"/>
    <w:rsid w:val="00817D2C"/>
    <w:rsid w:val="00820D52"/>
    <w:rsid w:val="00821C78"/>
    <w:rsid w:val="00822058"/>
    <w:rsid w:val="0082334B"/>
    <w:rsid w:val="008236A0"/>
    <w:rsid w:val="008251EA"/>
    <w:rsid w:val="00830BA2"/>
    <w:rsid w:val="0083279F"/>
    <w:rsid w:val="008331B0"/>
    <w:rsid w:val="00834862"/>
    <w:rsid w:val="00836817"/>
    <w:rsid w:val="00860F75"/>
    <w:rsid w:val="00861042"/>
    <w:rsid w:val="0086391A"/>
    <w:rsid w:val="00866ED5"/>
    <w:rsid w:val="00871978"/>
    <w:rsid w:val="00880ECD"/>
    <w:rsid w:val="00882A4D"/>
    <w:rsid w:val="00882D87"/>
    <w:rsid w:val="00884A96"/>
    <w:rsid w:val="00887C4A"/>
    <w:rsid w:val="00887DE8"/>
    <w:rsid w:val="0089138A"/>
    <w:rsid w:val="00891C8B"/>
    <w:rsid w:val="00892141"/>
    <w:rsid w:val="008923A6"/>
    <w:rsid w:val="00894787"/>
    <w:rsid w:val="00897057"/>
    <w:rsid w:val="0089738A"/>
    <w:rsid w:val="008A0861"/>
    <w:rsid w:val="008A25E9"/>
    <w:rsid w:val="008A353B"/>
    <w:rsid w:val="008A5B04"/>
    <w:rsid w:val="008A5F33"/>
    <w:rsid w:val="008A65A1"/>
    <w:rsid w:val="008A69C1"/>
    <w:rsid w:val="008B1BA3"/>
    <w:rsid w:val="008B24BF"/>
    <w:rsid w:val="008B333E"/>
    <w:rsid w:val="008C009A"/>
    <w:rsid w:val="008C2187"/>
    <w:rsid w:val="008C4747"/>
    <w:rsid w:val="008D0789"/>
    <w:rsid w:val="008D18C8"/>
    <w:rsid w:val="008D3DD1"/>
    <w:rsid w:val="008D6AE1"/>
    <w:rsid w:val="008E0B6D"/>
    <w:rsid w:val="008F0E83"/>
    <w:rsid w:val="008F11CC"/>
    <w:rsid w:val="008F24A4"/>
    <w:rsid w:val="00900594"/>
    <w:rsid w:val="00901D2D"/>
    <w:rsid w:val="009031B7"/>
    <w:rsid w:val="00906E5E"/>
    <w:rsid w:val="00907ABC"/>
    <w:rsid w:val="00911E05"/>
    <w:rsid w:val="00911EFA"/>
    <w:rsid w:val="009169C4"/>
    <w:rsid w:val="00916E49"/>
    <w:rsid w:val="00920227"/>
    <w:rsid w:val="00922589"/>
    <w:rsid w:val="00922BBD"/>
    <w:rsid w:val="00923A3D"/>
    <w:rsid w:val="009242FD"/>
    <w:rsid w:val="00927D99"/>
    <w:rsid w:val="00927D9E"/>
    <w:rsid w:val="009351FA"/>
    <w:rsid w:val="00935AC3"/>
    <w:rsid w:val="00940793"/>
    <w:rsid w:val="0094095E"/>
    <w:rsid w:val="009427D6"/>
    <w:rsid w:val="0094298C"/>
    <w:rsid w:val="00954483"/>
    <w:rsid w:val="009558DA"/>
    <w:rsid w:val="0095741E"/>
    <w:rsid w:val="00957987"/>
    <w:rsid w:val="00957B16"/>
    <w:rsid w:val="009622B6"/>
    <w:rsid w:val="00962EC6"/>
    <w:rsid w:val="00964F12"/>
    <w:rsid w:val="00965BA8"/>
    <w:rsid w:val="00967677"/>
    <w:rsid w:val="00972643"/>
    <w:rsid w:val="00973A25"/>
    <w:rsid w:val="00976964"/>
    <w:rsid w:val="00977119"/>
    <w:rsid w:val="009772B9"/>
    <w:rsid w:val="009834CC"/>
    <w:rsid w:val="00983F09"/>
    <w:rsid w:val="00985108"/>
    <w:rsid w:val="00985F99"/>
    <w:rsid w:val="00987AB1"/>
    <w:rsid w:val="00990D66"/>
    <w:rsid w:val="00991DC3"/>
    <w:rsid w:val="00992D77"/>
    <w:rsid w:val="00993596"/>
    <w:rsid w:val="00997267"/>
    <w:rsid w:val="009B0E3C"/>
    <w:rsid w:val="009B4563"/>
    <w:rsid w:val="009B7EB1"/>
    <w:rsid w:val="009C3BBA"/>
    <w:rsid w:val="009C3CE8"/>
    <w:rsid w:val="009C4CA6"/>
    <w:rsid w:val="009C53B3"/>
    <w:rsid w:val="009D18CF"/>
    <w:rsid w:val="009D1C4F"/>
    <w:rsid w:val="009E0E57"/>
    <w:rsid w:val="009E16AA"/>
    <w:rsid w:val="009E2F96"/>
    <w:rsid w:val="009F58CE"/>
    <w:rsid w:val="009F7D20"/>
    <w:rsid w:val="00A03C3A"/>
    <w:rsid w:val="00A11012"/>
    <w:rsid w:val="00A11EE9"/>
    <w:rsid w:val="00A13349"/>
    <w:rsid w:val="00A1371C"/>
    <w:rsid w:val="00A13AE3"/>
    <w:rsid w:val="00A14D2A"/>
    <w:rsid w:val="00A153FF"/>
    <w:rsid w:val="00A17A22"/>
    <w:rsid w:val="00A20F2F"/>
    <w:rsid w:val="00A2619E"/>
    <w:rsid w:val="00A31852"/>
    <w:rsid w:val="00A31C2C"/>
    <w:rsid w:val="00A31FCD"/>
    <w:rsid w:val="00A327E8"/>
    <w:rsid w:val="00A352F0"/>
    <w:rsid w:val="00A41EE3"/>
    <w:rsid w:val="00A42605"/>
    <w:rsid w:val="00A42B01"/>
    <w:rsid w:val="00A466DA"/>
    <w:rsid w:val="00A46C64"/>
    <w:rsid w:val="00A53D85"/>
    <w:rsid w:val="00A60EAB"/>
    <w:rsid w:val="00A64843"/>
    <w:rsid w:val="00A64A10"/>
    <w:rsid w:val="00A67EE8"/>
    <w:rsid w:val="00A805B9"/>
    <w:rsid w:val="00A80DF8"/>
    <w:rsid w:val="00A81738"/>
    <w:rsid w:val="00A86777"/>
    <w:rsid w:val="00A9213A"/>
    <w:rsid w:val="00A93DEE"/>
    <w:rsid w:val="00A95A78"/>
    <w:rsid w:val="00AA286C"/>
    <w:rsid w:val="00AA31AA"/>
    <w:rsid w:val="00AA438C"/>
    <w:rsid w:val="00AA4EE3"/>
    <w:rsid w:val="00AA55AD"/>
    <w:rsid w:val="00AA72B3"/>
    <w:rsid w:val="00AB001F"/>
    <w:rsid w:val="00AB0956"/>
    <w:rsid w:val="00AB26E1"/>
    <w:rsid w:val="00AB54AA"/>
    <w:rsid w:val="00AB55F7"/>
    <w:rsid w:val="00AB59B7"/>
    <w:rsid w:val="00AC23CB"/>
    <w:rsid w:val="00AC2430"/>
    <w:rsid w:val="00AD1997"/>
    <w:rsid w:val="00AE0234"/>
    <w:rsid w:val="00AE338C"/>
    <w:rsid w:val="00AF04C4"/>
    <w:rsid w:val="00AF0E18"/>
    <w:rsid w:val="00AF13FC"/>
    <w:rsid w:val="00AF2539"/>
    <w:rsid w:val="00AF7DC9"/>
    <w:rsid w:val="00B0084D"/>
    <w:rsid w:val="00B03184"/>
    <w:rsid w:val="00B058BB"/>
    <w:rsid w:val="00B05BB5"/>
    <w:rsid w:val="00B0669A"/>
    <w:rsid w:val="00B06EFF"/>
    <w:rsid w:val="00B07537"/>
    <w:rsid w:val="00B12FE5"/>
    <w:rsid w:val="00B13EA9"/>
    <w:rsid w:val="00B1523B"/>
    <w:rsid w:val="00B1752F"/>
    <w:rsid w:val="00B21867"/>
    <w:rsid w:val="00B23EB7"/>
    <w:rsid w:val="00B30C35"/>
    <w:rsid w:val="00B315B3"/>
    <w:rsid w:val="00B33343"/>
    <w:rsid w:val="00B33508"/>
    <w:rsid w:val="00B3398E"/>
    <w:rsid w:val="00B4058C"/>
    <w:rsid w:val="00B43C9D"/>
    <w:rsid w:val="00B6127B"/>
    <w:rsid w:val="00B63683"/>
    <w:rsid w:val="00B658E6"/>
    <w:rsid w:val="00B67EFB"/>
    <w:rsid w:val="00B71E1B"/>
    <w:rsid w:val="00B72388"/>
    <w:rsid w:val="00B75C79"/>
    <w:rsid w:val="00B75DD5"/>
    <w:rsid w:val="00B76E3D"/>
    <w:rsid w:val="00B7750B"/>
    <w:rsid w:val="00B77E21"/>
    <w:rsid w:val="00B80C85"/>
    <w:rsid w:val="00B816BB"/>
    <w:rsid w:val="00B818F1"/>
    <w:rsid w:val="00B83E2D"/>
    <w:rsid w:val="00B86B50"/>
    <w:rsid w:val="00B87366"/>
    <w:rsid w:val="00B875E8"/>
    <w:rsid w:val="00B90F77"/>
    <w:rsid w:val="00B931DB"/>
    <w:rsid w:val="00B96152"/>
    <w:rsid w:val="00BA1D6C"/>
    <w:rsid w:val="00BA2E33"/>
    <w:rsid w:val="00BB5B03"/>
    <w:rsid w:val="00BB64B1"/>
    <w:rsid w:val="00BB7080"/>
    <w:rsid w:val="00BB799A"/>
    <w:rsid w:val="00BB7E23"/>
    <w:rsid w:val="00BC2D50"/>
    <w:rsid w:val="00BC38C5"/>
    <w:rsid w:val="00BC5228"/>
    <w:rsid w:val="00BC522F"/>
    <w:rsid w:val="00BD26B1"/>
    <w:rsid w:val="00BD43B7"/>
    <w:rsid w:val="00BD5870"/>
    <w:rsid w:val="00BD740B"/>
    <w:rsid w:val="00BE0401"/>
    <w:rsid w:val="00BE2B6D"/>
    <w:rsid w:val="00BE3F2D"/>
    <w:rsid w:val="00BE7BD0"/>
    <w:rsid w:val="00BF1DF3"/>
    <w:rsid w:val="00BF487F"/>
    <w:rsid w:val="00BF6DEF"/>
    <w:rsid w:val="00C0753A"/>
    <w:rsid w:val="00C129B9"/>
    <w:rsid w:val="00C20B5B"/>
    <w:rsid w:val="00C2111A"/>
    <w:rsid w:val="00C36165"/>
    <w:rsid w:val="00C36E32"/>
    <w:rsid w:val="00C405FD"/>
    <w:rsid w:val="00C434FF"/>
    <w:rsid w:val="00C46B5C"/>
    <w:rsid w:val="00C5338B"/>
    <w:rsid w:val="00C5663A"/>
    <w:rsid w:val="00C65264"/>
    <w:rsid w:val="00C6638D"/>
    <w:rsid w:val="00C66A4A"/>
    <w:rsid w:val="00C67202"/>
    <w:rsid w:val="00C67936"/>
    <w:rsid w:val="00C70860"/>
    <w:rsid w:val="00C74ED4"/>
    <w:rsid w:val="00C74F48"/>
    <w:rsid w:val="00C762ED"/>
    <w:rsid w:val="00C8088E"/>
    <w:rsid w:val="00C84FE2"/>
    <w:rsid w:val="00C8761A"/>
    <w:rsid w:val="00C90BE2"/>
    <w:rsid w:val="00C92AEE"/>
    <w:rsid w:val="00C97556"/>
    <w:rsid w:val="00CA24CB"/>
    <w:rsid w:val="00CA24D4"/>
    <w:rsid w:val="00CA3110"/>
    <w:rsid w:val="00CA48D8"/>
    <w:rsid w:val="00CB1134"/>
    <w:rsid w:val="00CB3368"/>
    <w:rsid w:val="00CB39B6"/>
    <w:rsid w:val="00CB5A91"/>
    <w:rsid w:val="00CB5D21"/>
    <w:rsid w:val="00CC0C38"/>
    <w:rsid w:val="00CC3519"/>
    <w:rsid w:val="00CC7F53"/>
    <w:rsid w:val="00CD27DB"/>
    <w:rsid w:val="00CE171E"/>
    <w:rsid w:val="00CE2EA5"/>
    <w:rsid w:val="00CE7503"/>
    <w:rsid w:val="00CF0B0B"/>
    <w:rsid w:val="00CF1E92"/>
    <w:rsid w:val="00D000EB"/>
    <w:rsid w:val="00D04A53"/>
    <w:rsid w:val="00D06101"/>
    <w:rsid w:val="00D07571"/>
    <w:rsid w:val="00D079BA"/>
    <w:rsid w:val="00D07EA0"/>
    <w:rsid w:val="00D1218B"/>
    <w:rsid w:val="00D16A46"/>
    <w:rsid w:val="00D17438"/>
    <w:rsid w:val="00D177E7"/>
    <w:rsid w:val="00D21BF0"/>
    <w:rsid w:val="00D22343"/>
    <w:rsid w:val="00D24E9A"/>
    <w:rsid w:val="00D263F1"/>
    <w:rsid w:val="00D313A3"/>
    <w:rsid w:val="00D31D9D"/>
    <w:rsid w:val="00D40277"/>
    <w:rsid w:val="00D402CA"/>
    <w:rsid w:val="00D406E1"/>
    <w:rsid w:val="00D41E6C"/>
    <w:rsid w:val="00D4456A"/>
    <w:rsid w:val="00D44CB2"/>
    <w:rsid w:val="00D45E02"/>
    <w:rsid w:val="00D46443"/>
    <w:rsid w:val="00D47F37"/>
    <w:rsid w:val="00D516C8"/>
    <w:rsid w:val="00D54E04"/>
    <w:rsid w:val="00D57E64"/>
    <w:rsid w:val="00D60121"/>
    <w:rsid w:val="00D613FB"/>
    <w:rsid w:val="00D623A6"/>
    <w:rsid w:val="00D756B9"/>
    <w:rsid w:val="00D776B7"/>
    <w:rsid w:val="00D82BE1"/>
    <w:rsid w:val="00D83D3F"/>
    <w:rsid w:val="00D85599"/>
    <w:rsid w:val="00D9083F"/>
    <w:rsid w:val="00D92B3F"/>
    <w:rsid w:val="00DA3C55"/>
    <w:rsid w:val="00DA570C"/>
    <w:rsid w:val="00DA5EB1"/>
    <w:rsid w:val="00DB1A36"/>
    <w:rsid w:val="00DB481F"/>
    <w:rsid w:val="00DB4A10"/>
    <w:rsid w:val="00DB7E54"/>
    <w:rsid w:val="00DC1188"/>
    <w:rsid w:val="00DC3653"/>
    <w:rsid w:val="00DD2F2D"/>
    <w:rsid w:val="00DE5C43"/>
    <w:rsid w:val="00DE68DC"/>
    <w:rsid w:val="00DE6B3F"/>
    <w:rsid w:val="00DF0066"/>
    <w:rsid w:val="00DF4C2B"/>
    <w:rsid w:val="00DF766E"/>
    <w:rsid w:val="00E00694"/>
    <w:rsid w:val="00E0187B"/>
    <w:rsid w:val="00E07B5F"/>
    <w:rsid w:val="00E10633"/>
    <w:rsid w:val="00E11B95"/>
    <w:rsid w:val="00E11EDC"/>
    <w:rsid w:val="00E12DDA"/>
    <w:rsid w:val="00E24C66"/>
    <w:rsid w:val="00E27C0E"/>
    <w:rsid w:val="00E30225"/>
    <w:rsid w:val="00E327AE"/>
    <w:rsid w:val="00E344A2"/>
    <w:rsid w:val="00E34CC5"/>
    <w:rsid w:val="00E35546"/>
    <w:rsid w:val="00E35592"/>
    <w:rsid w:val="00E4025A"/>
    <w:rsid w:val="00E41989"/>
    <w:rsid w:val="00E479E0"/>
    <w:rsid w:val="00E50BFF"/>
    <w:rsid w:val="00E55EB5"/>
    <w:rsid w:val="00E56843"/>
    <w:rsid w:val="00E56A0E"/>
    <w:rsid w:val="00E600BE"/>
    <w:rsid w:val="00E60394"/>
    <w:rsid w:val="00E614BF"/>
    <w:rsid w:val="00E7599B"/>
    <w:rsid w:val="00E75B21"/>
    <w:rsid w:val="00E80518"/>
    <w:rsid w:val="00E83E9A"/>
    <w:rsid w:val="00E852C2"/>
    <w:rsid w:val="00E913CB"/>
    <w:rsid w:val="00E930EE"/>
    <w:rsid w:val="00E936DB"/>
    <w:rsid w:val="00E96857"/>
    <w:rsid w:val="00E96C6C"/>
    <w:rsid w:val="00E97F99"/>
    <w:rsid w:val="00EA02A2"/>
    <w:rsid w:val="00EA0E7B"/>
    <w:rsid w:val="00EA2090"/>
    <w:rsid w:val="00EA73C1"/>
    <w:rsid w:val="00EA7665"/>
    <w:rsid w:val="00EC0F55"/>
    <w:rsid w:val="00EC1E25"/>
    <w:rsid w:val="00EC2A35"/>
    <w:rsid w:val="00EC42C0"/>
    <w:rsid w:val="00ED07C3"/>
    <w:rsid w:val="00ED0C58"/>
    <w:rsid w:val="00ED2DD0"/>
    <w:rsid w:val="00EE043A"/>
    <w:rsid w:val="00EE18CC"/>
    <w:rsid w:val="00EE35BB"/>
    <w:rsid w:val="00EE70D2"/>
    <w:rsid w:val="00EF0063"/>
    <w:rsid w:val="00EF1791"/>
    <w:rsid w:val="00EF2DEE"/>
    <w:rsid w:val="00EF3CD4"/>
    <w:rsid w:val="00EF501D"/>
    <w:rsid w:val="00EF7114"/>
    <w:rsid w:val="00F01BD8"/>
    <w:rsid w:val="00F05BCC"/>
    <w:rsid w:val="00F15AE1"/>
    <w:rsid w:val="00F17D02"/>
    <w:rsid w:val="00F24869"/>
    <w:rsid w:val="00F25A12"/>
    <w:rsid w:val="00F302FE"/>
    <w:rsid w:val="00F37734"/>
    <w:rsid w:val="00F37A14"/>
    <w:rsid w:val="00F41729"/>
    <w:rsid w:val="00F419A6"/>
    <w:rsid w:val="00F4281B"/>
    <w:rsid w:val="00F43CD1"/>
    <w:rsid w:val="00F4652D"/>
    <w:rsid w:val="00F47BC0"/>
    <w:rsid w:val="00F52ED3"/>
    <w:rsid w:val="00F66AC9"/>
    <w:rsid w:val="00F72493"/>
    <w:rsid w:val="00F76036"/>
    <w:rsid w:val="00F763E7"/>
    <w:rsid w:val="00F83B35"/>
    <w:rsid w:val="00F84AB4"/>
    <w:rsid w:val="00F856B8"/>
    <w:rsid w:val="00F86C35"/>
    <w:rsid w:val="00F874FE"/>
    <w:rsid w:val="00F87CB0"/>
    <w:rsid w:val="00F924FB"/>
    <w:rsid w:val="00F9291A"/>
    <w:rsid w:val="00F9469A"/>
    <w:rsid w:val="00FA0560"/>
    <w:rsid w:val="00FA08D6"/>
    <w:rsid w:val="00FA0DD1"/>
    <w:rsid w:val="00FA2F4C"/>
    <w:rsid w:val="00FA3A61"/>
    <w:rsid w:val="00FA48C3"/>
    <w:rsid w:val="00FA5BF8"/>
    <w:rsid w:val="00FB632D"/>
    <w:rsid w:val="00FD41C4"/>
    <w:rsid w:val="00FE0A18"/>
    <w:rsid w:val="00FE1F8E"/>
    <w:rsid w:val="00FE2969"/>
    <w:rsid w:val="00FE3326"/>
    <w:rsid w:val="00FE455C"/>
    <w:rsid w:val="00FE5522"/>
    <w:rsid w:val="00FE728B"/>
    <w:rsid w:val="00FF6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B0B"/>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customStyle="1" w:styleId="TAN">
    <w:name w:val="TAN"/>
    <w:basedOn w:val="TAL"/>
    <w:link w:val="TANChar"/>
    <w:rsid w:val="004A7A40"/>
    <w:pPr>
      <w:overflowPunct/>
      <w:autoSpaceDE/>
      <w:autoSpaceDN/>
      <w:adjustRightInd/>
      <w:ind w:left="851" w:hanging="851"/>
      <w:textAlignment w:val="auto"/>
    </w:pPr>
    <w:rPr>
      <w:rFonts w:eastAsia="MS Mincho"/>
    </w:rPr>
  </w:style>
  <w:style w:type="paragraph" w:customStyle="1" w:styleId="Tabletext">
    <w:name w:val="Table_text"/>
    <w:basedOn w:val="Normal"/>
    <w:link w:val="TabletextChar"/>
    <w:rsid w:val="004A7A4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0"/>
      <w:szCs w:val="20"/>
      <w:lang w:val="en-GB" w:eastAsia="en-US"/>
    </w:rPr>
  </w:style>
  <w:style w:type="character" w:customStyle="1" w:styleId="TabletextChar">
    <w:name w:val="Table_text Char"/>
    <w:link w:val="Tabletext"/>
    <w:locked/>
    <w:rsid w:val="004A7A40"/>
    <w:rPr>
      <w:rFonts w:ascii="Times New Roman" w:eastAsia="MS Mincho" w:hAnsi="Times New Roman" w:cs="Times New Roman"/>
      <w:sz w:val="20"/>
      <w:szCs w:val="20"/>
      <w:lang w:val="en-GB" w:eastAsia="en-US"/>
    </w:rPr>
  </w:style>
  <w:style w:type="character" w:customStyle="1" w:styleId="TALCar">
    <w:name w:val="TAL Car"/>
    <w:locked/>
    <w:rsid w:val="004A7A40"/>
    <w:rPr>
      <w:rFonts w:ascii="Arial" w:hAnsi="Arial"/>
      <w:sz w:val="18"/>
      <w:lang w:val="en-GB" w:eastAsia="en-US"/>
    </w:rPr>
  </w:style>
  <w:style w:type="character" w:customStyle="1" w:styleId="TANChar">
    <w:name w:val="TAN Char"/>
    <w:link w:val="TAN"/>
    <w:rsid w:val="004A7A40"/>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483935033">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01309385">
      <w:bodyDiv w:val="1"/>
      <w:marLeft w:val="0"/>
      <w:marRight w:val="0"/>
      <w:marTop w:val="0"/>
      <w:marBottom w:val="0"/>
      <w:divBdr>
        <w:top w:val="none" w:sz="0" w:space="0" w:color="auto"/>
        <w:left w:val="none" w:sz="0" w:space="0" w:color="auto"/>
        <w:bottom w:val="none" w:sz="0" w:space="0" w:color="auto"/>
        <w:right w:val="none" w:sz="0" w:space="0" w:color="auto"/>
      </w:divBdr>
    </w:div>
    <w:div w:id="803696713">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955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7.wmf"/><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6.wmf"/><Relationship Id="rId5" Type="http://schemas.openxmlformats.org/officeDocument/2006/relationships/image" Target="media/image1.emf"/><Relationship Id="rId15" Type="http://schemas.openxmlformats.org/officeDocument/2006/relationships/image" Target="media/image8.png"/><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1003</TotalTime>
  <Pages>7</Pages>
  <Words>2560</Words>
  <Characters>14593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113</cp:revision>
  <dcterms:created xsi:type="dcterms:W3CDTF">2022-04-11T01:34:00Z</dcterms:created>
  <dcterms:modified xsi:type="dcterms:W3CDTF">2023-05-12T00:47:00Z</dcterms:modified>
</cp:coreProperties>
</file>